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22" w:rsidRDefault="00E10CB1">
      <w:pPr>
        <w:pStyle w:val="BodyText"/>
        <w:ind w:left="1311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755296" cy="3059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6" cy="30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422" w:rsidRDefault="001B3422">
      <w:pPr>
        <w:pStyle w:val="BodyText"/>
        <w:rPr>
          <w:rFonts w:ascii="Times New Roman"/>
          <w:sz w:val="20"/>
        </w:rPr>
      </w:pPr>
    </w:p>
    <w:p w:rsidR="001B3422" w:rsidRDefault="001B3422">
      <w:pPr>
        <w:pStyle w:val="BodyText"/>
        <w:spacing w:before="7"/>
        <w:rPr>
          <w:rFonts w:ascii="Times New Roman"/>
          <w:sz w:val="16"/>
        </w:rPr>
      </w:pPr>
    </w:p>
    <w:p w:rsidR="001B3422" w:rsidRDefault="00E10CB1" w:rsidP="00E10CB1">
      <w:pPr>
        <w:spacing w:before="92"/>
        <w:jc w:val="center"/>
        <w:rPr>
          <w:b/>
          <w:sz w:val="28"/>
        </w:rPr>
      </w:pPr>
      <w:r>
        <w:rPr>
          <w:b/>
          <w:sz w:val="28"/>
        </w:rPr>
        <w:t>Infection Control Audit Tool for safe handling &amp; disposal of sharps</w:t>
      </w:r>
    </w:p>
    <w:tbl>
      <w:tblPr>
        <w:tblpPr w:leftFromText="180" w:rightFromText="180" w:vertAnchor="text" w:horzAnchor="margin" w:tblpXSpec="right" w:tblpY="112"/>
        <w:tblW w:w="0" w:type="auto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"/>
        <w:gridCol w:w="1246"/>
      </w:tblGrid>
      <w:tr w:rsidR="00E10CB1" w:rsidTr="00E10CB1">
        <w:trPr>
          <w:trHeight w:val="436"/>
        </w:trPr>
        <w:tc>
          <w:tcPr>
            <w:tcW w:w="309" w:type="dxa"/>
            <w:shd w:val="clear" w:color="auto" w:fill="FFFFFF" w:themeFill="background1"/>
            <w:textDirection w:val="btLr"/>
          </w:tcPr>
          <w:p w:rsidR="00E10CB1" w:rsidRDefault="00E10CB1" w:rsidP="00E10CB1">
            <w:pPr>
              <w:pStyle w:val="TableParagraph"/>
              <w:spacing w:before="41"/>
              <w:ind w:left="239"/>
              <w:rPr>
                <w:b/>
                <w:sz w:val="36"/>
              </w:rPr>
            </w:pPr>
          </w:p>
        </w:tc>
        <w:tc>
          <w:tcPr>
            <w:tcW w:w="1246" w:type="dxa"/>
            <w:shd w:val="clear" w:color="auto" w:fill="FFFFFF" w:themeFill="background1"/>
          </w:tcPr>
          <w:p w:rsidR="00E10CB1" w:rsidRDefault="00E10CB1" w:rsidP="00E10CB1">
            <w:pPr>
              <w:pStyle w:val="TableParagraph"/>
              <w:tabs>
                <w:tab w:val="left" w:pos="310"/>
              </w:tabs>
              <w:spacing w:before="145"/>
              <w:ind w:left="309"/>
            </w:pPr>
          </w:p>
        </w:tc>
      </w:tr>
    </w:tbl>
    <w:p w:rsidR="001B3422" w:rsidRDefault="00E10CB1">
      <w:pPr>
        <w:pStyle w:val="BodyText"/>
        <w:spacing w:before="168"/>
        <w:ind w:left="120"/>
      </w:pPr>
      <w:r>
        <w:t>Standard: Sharps will be handled safely to prevent the risk of needlestick injury</w:t>
      </w:r>
    </w:p>
    <w:p w:rsidR="001B3422" w:rsidRDefault="001B3422">
      <w:pPr>
        <w:pStyle w:val="BodyText"/>
        <w:spacing w:before="9"/>
        <w:rPr>
          <w:sz w:val="14"/>
        </w:rPr>
      </w:pPr>
    </w:p>
    <w:p w:rsidR="001B3422" w:rsidRDefault="00E10CB1">
      <w:pPr>
        <w:pStyle w:val="BodyText"/>
        <w:tabs>
          <w:tab w:val="left" w:pos="10751"/>
        </w:tabs>
        <w:spacing w:before="117"/>
        <w:ind w:left="120"/>
      </w:pPr>
      <w:r>
        <w:t>Date: .........................................        Ward............................................     Auditor:</w:t>
      </w:r>
      <w:r>
        <w:rPr>
          <w:spacing w:val="10"/>
        </w:rPr>
        <w:t xml:space="preserve"> </w:t>
      </w:r>
      <w:r>
        <w:t>...............................................................................................</w:t>
      </w:r>
    </w:p>
    <w:p w:rsidR="001B3422" w:rsidRDefault="001B3422">
      <w:pPr>
        <w:pStyle w:val="BodyText"/>
        <w:rPr>
          <w:sz w:val="9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8789"/>
        <w:gridCol w:w="567"/>
        <w:gridCol w:w="567"/>
        <w:gridCol w:w="567"/>
        <w:gridCol w:w="3685"/>
      </w:tblGrid>
      <w:tr w:rsidR="001B3422" w:rsidTr="00322894">
        <w:trPr>
          <w:trHeight w:val="460"/>
        </w:trPr>
        <w:tc>
          <w:tcPr>
            <w:tcW w:w="452" w:type="dxa"/>
            <w:shd w:val="clear" w:color="auto" w:fill="00A599"/>
          </w:tcPr>
          <w:p w:rsidR="001B3422" w:rsidRDefault="00322894">
            <w:pPr>
              <w:pStyle w:val="TableParagraph"/>
              <w:spacing w:before="105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(a)</w:t>
            </w:r>
          </w:p>
        </w:tc>
        <w:tc>
          <w:tcPr>
            <w:tcW w:w="8789" w:type="dxa"/>
            <w:shd w:val="clear" w:color="auto" w:fill="00A599"/>
          </w:tcPr>
          <w:p w:rsidR="001B3422" w:rsidRDefault="00322894">
            <w:pPr>
              <w:pStyle w:val="TableParagraph"/>
              <w:spacing w:before="105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All Sharps bin</w:t>
            </w:r>
          </w:p>
        </w:tc>
        <w:tc>
          <w:tcPr>
            <w:tcW w:w="567" w:type="dxa"/>
            <w:shd w:val="clear" w:color="auto" w:fill="00A599"/>
          </w:tcPr>
          <w:p w:rsidR="001B3422" w:rsidRDefault="00E10CB1">
            <w:pPr>
              <w:pStyle w:val="TableParagraph"/>
              <w:spacing w:before="105"/>
              <w:ind w:left="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Yes</w:t>
            </w:r>
          </w:p>
        </w:tc>
        <w:tc>
          <w:tcPr>
            <w:tcW w:w="567" w:type="dxa"/>
            <w:shd w:val="clear" w:color="auto" w:fill="00A599"/>
          </w:tcPr>
          <w:p w:rsidR="001B3422" w:rsidRDefault="00E10CB1">
            <w:pPr>
              <w:pStyle w:val="TableParagraph"/>
              <w:spacing w:before="105"/>
              <w:ind w:left="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567" w:type="dxa"/>
            <w:shd w:val="clear" w:color="auto" w:fill="00A599"/>
          </w:tcPr>
          <w:p w:rsidR="001B3422" w:rsidRDefault="00E10CB1">
            <w:pPr>
              <w:pStyle w:val="TableParagraph"/>
              <w:spacing w:before="105"/>
              <w:ind w:left="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N/A</w:t>
            </w:r>
          </w:p>
        </w:tc>
        <w:tc>
          <w:tcPr>
            <w:tcW w:w="3685" w:type="dxa"/>
            <w:shd w:val="clear" w:color="auto" w:fill="00A599"/>
          </w:tcPr>
          <w:p w:rsidR="001B3422" w:rsidRDefault="00E10CB1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Comments/Action</w:t>
            </w:r>
          </w:p>
        </w:tc>
      </w:tr>
      <w:tr w:rsidR="00E10CB1" w:rsidTr="00322894">
        <w:trPr>
          <w:trHeight w:val="674"/>
        </w:trPr>
        <w:tc>
          <w:tcPr>
            <w:tcW w:w="452" w:type="dxa"/>
            <w:shd w:val="clear" w:color="auto" w:fill="B2E4E1"/>
          </w:tcPr>
          <w:p w:rsidR="00E10CB1" w:rsidRDefault="00E10CB1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789" w:type="dxa"/>
          </w:tcPr>
          <w:p w:rsidR="00E10CB1" w:rsidRDefault="00322894">
            <w:pPr>
              <w:pStyle w:val="TableParagraph"/>
              <w:spacing w:before="26"/>
              <w:ind w:left="107" w:right="471"/>
              <w:rPr>
                <w:sz w:val="20"/>
              </w:rPr>
            </w:pPr>
            <w:r>
              <w:rPr>
                <w:sz w:val="20"/>
              </w:rPr>
              <w:t>The bins in use comply with national standards (UN 3291, BS 7320)</w:t>
            </w: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E10CB1" w:rsidRDefault="00E10C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CB1" w:rsidTr="00322894">
        <w:trPr>
          <w:trHeight w:val="535"/>
        </w:trPr>
        <w:tc>
          <w:tcPr>
            <w:tcW w:w="452" w:type="dxa"/>
            <w:shd w:val="clear" w:color="auto" w:fill="B2E4E1"/>
          </w:tcPr>
          <w:p w:rsidR="00E10CB1" w:rsidRDefault="00E10CB1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789" w:type="dxa"/>
          </w:tcPr>
          <w:p w:rsidR="00E10CB1" w:rsidRDefault="00322894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Bins have not been filled above the fill line</w:t>
            </w: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E10CB1" w:rsidRDefault="00E10C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CC2" w:rsidTr="00322894">
        <w:trPr>
          <w:trHeight w:val="535"/>
        </w:trPr>
        <w:tc>
          <w:tcPr>
            <w:tcW w:w="452" w:type="dxa"/>
            <w:shd w:val="clear" w:color="auto" w:fill="B2E4E1"/>
          </w:tcPr>
          <w:p w:rsidR="00973CC2" w:rsidRDefault="00973CC2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789" w:type="dxa"/>
          </w:tcPr>
          <w:p w:rsidR="00973CC2" w:rsidRDefault="00973CC2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Bins should be closed when meeting</w:t>
            </w:r>
            <w:r w:rsidR="00F652B9">
              <w:rPr>
                <w:sz w:val="20"/>
              </w:rPr>
              <w:t xml:space="preserve"> the fill line or has </w:t>
            </w:r>
            <w:r>
              <w:rPr>
                <w:sz w:val="20"/>
              </w:rPr>
              <w:t>been open for 3 months</w:t>
            </w:r>
          </w:p>
        </w:tc>
        <w:tc>
          <w:tcPr>
            <w:tcW w:w="567" w:type="dxa"/>
          </w:tcPr>
          <w:p w:rsidR="00973CC2" w:rsidRDefault="00973C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973CC2" w:rsidRDefault="00973C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973CC2" w:rsidRDefault="00973C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973CC2" w:rsidRDefault="00973C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CB1" w:rsidTr="00322894">
        <w:trPr>
          <w:trHeight w:val="533"/>
        </w:trPr>
        <w:tc>
          <w:tcPr>
            <w:tcW w:w="452" w:type="dxa"/>
            <w:shd w:val="clear" w:color="auto" w:fill="B2E4E1"/>
          </w:tcPr>
          <w:p w:rsidR="00E10CB1" w:rsidRDefault="00973CC2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  <w:r w:rsidR="00E10CB1">
              <w:rPr>
                <w:sz w:val="20"/>
              </w:rPr>
              <w:t>.</w:t>
            </w:r>
          </w:p>
        </w:tc>
        <w:tc>
          <w:tcPr>
            <w:tcW w:w="8789" w:type="dxa"/>
          </w:tcPr>
          <w:p w:rsidR="00E10CB1" w:rsidRDefault="00322894">
            <w:pPr>
              <w:pStyle w:val="TableParagraph"/>
              <w:spacing w:before="26"/>
              <w:ind w:left="107" w:right="471"/>
              <w:rPr>
                <w:sz w:val="20"/>
              </w:rPr>
            </w:pPr>
            <w:r>
              <w:rPr>
                <w:sz w:val="20"/>
              </w:rPr>
              <w:t>Bins are free from protruding sharps</w:t>
            </w: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E10CB1" w:rsidRDefault="00E10C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CB1" w:rsidTr="00322894">
        <w:trPr>
          <w:trHeight w:val="533"/>
        </w:trPr>
        <w:tc>
          <w:tcPr>
            <w:tcW w:w="452" w:type="dxa"/>
            <w:shd w:val="clear" w:color="auto" w:fill="B2E4E1"/>
          </w:tcPr>
          <w:p w:rsidR="00E10CB1" w:rsidRDefault="00973CC2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 w:rsidR="00E10CB1">
              <w:rPr>
                <w:sz w:val="20"/>
              </w:rPr>
              <w:t>.</w:t>
            </w:r>
          </w:p>
        </w:tc>
        <w:tc>
          <w:tcPr>
            <w:tcW w:w="8789" w:type="dxa"/>
          </w:tcPr>
          <w:p w:rsidR="00322894" w:rsidRDefault="00322894" w:rsidP="00322894">
            <w:pPr>
              <w:pStyle w:val="TableParagraph"/>
              <w:spacing w:before="26"/>
              <w:ind w:left="107" w:right="471"/>
              <w:rPr>
                <w:sz w:val="20"/>
              </w:rPr>
            </w:pPr>
            <w:r>
              <w:rPr>
                <w:sz w:val="20"/>
              </w:rPr>
              <w:t>All bins have been assembled correctly</w:t>
            </w: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E10CB1" w:rsidRDefault="00E10C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CB1" w:rsidTr="00322894">
        <w:trPr>
          <w:trHeight w:val="533"/>
        </w:trPr>
        <w:tc>
          <w:tcPr>
            <w:tcW w:w="452" w:type="dxa"/>
            <w:shd w:val="clear" w:color="auto" w:fill="B2E4E1"/>
          </w:tcPr>
          <w:p w:rsidR="00E10CB1" w:rsidRDefault="00973CC2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  <w:r w:rsidR="00E10CB1">
              <w:rPr>
                <w:sz w:val="20"/>
              </w:rPr>
              <w:t>.</w:t>
            </w:r>
          </w:p>
        </w:tc>
        <w:tc>
          <w:tcPr>
            <w:tcW w:w="8789" w:type="dxa"/>
          </w:tcPr>
          <w:p w:rsidR="00E10CB1" w:rsidRDefault="00322894" w:rsidP="00F652B9">
            <w:pPr>
              <w:pStyle w:val="TableParagraph"/>
              <w:spacing w:before="26"/>
              <w:ind w:left="107" w:right="471"/>
              <w:rPr>
                <w:sz w:val="20"/>
              </w:rPr>
            </w:pPr>
            <w:r>
              <w:rPr>
                <w:sz w:val="20"/>
              </w:rPr>
              <w:t xml:space="preserve">All Sharps bins are labelled and </w:t>
            </w:r>
            <w:r w:rsidR="00973CC2">
              <w:rPr>
                <w:sz w:val="20"/>
              </w:rPr>
              <w:t>signed according to the local</w:t>
            </w:r>
            <w:r>
              <w:rPr>
                <w:sz w:val="20"/>
              </w:rPr>
              <w:t xml:space="preserve"> policy</w:t>
            </w:r>
            <w:r w:rsidR="00F652B9">
              <w:rPr>
                <w:sz w:val="20"/>
              </w:rPr>
              <w:t xml:space="preserve"> with base,</w:t>
            </w:r>
            <w:r w:rsidR="00973CC2">
              <w:rPr>
                <w:sz w:val="20"/>
              </w:rPr>
              <w:t xml:space="preserve"> </w:t>
            </w:r>
            <w:r w:rsidR="00F652B9">
              <w:rPr>
                <w:sz w:val="20"/>
              </w:rPr>
              <w:t>d</w:t>
            </w:r>
            <w:r w:rsidR="00973CC2">
              <w:rPr>
                <w:sz w:val="20"/>
              </w:rPr>
              <w:t>ate of setting up and permanently closed</w:t>
            </w: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E10CB1" w:rsidRDefault="00E10C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CB1" w:rsidTr="00322894">
        <w:trPr>
          <w:trHeight w:val="694"/>
        </w:trPr>
        <w:tc>
          <w:tcPr>
            <w:tcW w:w="452" w:type="dxa"/>
            <w:shd w:val="clear" w:color="auto" w:fill="B2E4E1"/>
          </w:tcPr>
          <w:p w:rsidR="00E10CB1" w:rsidRDefault="00973CC2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  <w:r w:rsidR="00E10CB1">
              <w:rPr>
                <w:sz w:val="20"/>
              </w:rPr>
              <w:t>.</w:t>
            </w:r>
          </w:p>
        </w:tc>
        <w:tc>
          <w:tcPr>
            <w:tcW w:w="8789" w:type="dxa"/>
          </w:tcPr>
          <w:p w:rsidR="00E10CB1" w:rsidRDefault="00322894">
            <w:pPr>
              <w:pStyle w:val="TableParagraph"/>
              <w:spacing w:before="26"/>
              <w:ind w:left="107" w:right="270"/>
              <w:rPr>
                <w:sz w:val="20"/>
              </w:rPr>
            </w:pPr>
            <w:r>
              <w:rPr>
                <w:sz w:val="20"/>
              </w:rPr>
              <w:t>Sharps bins are stored safely, away from public and out of reach of children</w:t>
            </w: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E10CB1" w:rsidRDefault="00E10CB1">
            <w:pPr>
              <w:pStyle w:val="TableParagraph"/>
              <w:spacing w:before="25"/>
              <w:ind w:left="108"/>
              <w:rPr>
                <w:sz w:val="16"/>
              </w:rPr>
            </w:pPr>
          </w:p>
        </w:tc>
      </w:tr>
      <w:tr w:rsidR="00322894" w:rsidTr="00322894">
        <w:trPr>
          <w:trHeight w:val="694"/>
        </w:trPr>
        <w:tc>
          <w:tcPr>
            <w:tcW w:w="452" w:type="dxa"/>
            <w:shd w:val="clear" w:color="auto" w:fill="B2E4E1"/>
          </w:tcPr>
          <w:p w:rsidR="00322894" w:rsidRDefault="00973CC2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8</w:t>
            </w:r>
            <w:r w:rsidR="00322894">
              <w:rPr>
                <w:sz w:val="20"/>
              </w:rPr>
              <w:t>.</w:t>
            </w:r>
          </w:p>
        </w:tc>
        <w:tc>
          <w:tcPr>
            <w:tcW w:w="8789" w:type="dxa"/>
          </w:tcPr>
          <w:p w:rsidR="00322894" w:rsidRDefault="00322894">
            <w:pPr>
              <w:pStyle w:val="TableParagraph"/>
              <w:spacing w:before="26"/>
              <w:ind w:left="107" w:right="270"/>
              <w:rPr>
                <w:sz w:val="20"/>
              </w:rPr>
            </w:pPr>
            <w:r>
              <w:rPr>
                <w:sz w:val="20"/>
              </w:rPr>
              <w:t>Bins are stored appropriately off the floor</w:t>
            </w:r>
          </w:p>
        </w:tc>
        <w:tc>
          <w:tcPr>
            <w:tcW w:w="567" w:type="dxa"/>
          </w:tcPr>
          <w:p w:rsidR="00322894" w:rsidRDefault="0032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322894" w:rsidRDefault="0032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322894" w:rsidRDefault="0032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322894" w:rsidRDefault="00322894">
            <w:pPr>
              <w:pStyle w:val="TableParagraph"/>
              <w:spacing w:before="25"/>
              <w:ind w:left="108"/>
              <w:rPr>
                <w:sz w:val="16"/>
              </w:rPr>
            </w:pPr>
          </w:p>
        </w:tc>
      </w:tr>
      <w:tr w:rsidR="00322894" w:rsidTr="00322894">
        <w:trPr>
          <w:trHeight w:val="694"/>
        </w:trPr>
        <w:tc>
          <w:tcPr>
            <w:tcW w:w="452" w:type="dxa"/>
            <w:shd w:val="clear" w:color="auto" w:fill="B2E4E1"/>
          </w:tcPr>
          <w:p w:rsidR="00322894" w:rsidRDefault="00973CC2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 w:rsidR="00322894">
              <w:rPr>
                <w:sz w:val="20"/>
              </w:rPr>
              <w:t>.</w:t>
            </w:r>
          </w:p>
        </w:tc>
        <w:tc>
          <w:tcPr>
            <w:tcW w:w="8789" w:type="dxa"/>
          </w:tcPr>
          <w:p w:rsidR="00322894" w:rsidRDefault="00322894">
            <w:pPr>
              <w:pStyle w:val="TableParagraph"/>
              <w:spacing w:before="26"/>
              <w:ind w:left="107" w:right="270"/>
              <w:rPr>
                <w:sz w:val="20"/>
              </w:rPr>
            </w:pPr>
            <w:r>
              <w:rPr>
                <w:sz w:val="20"/>
              </w:rPr>
              <w:t>Sharps bins are used in accordance with ergonomic manual handling principles i.e. using brackets</w:t>
            </w:r>
          </w:p>
        </w:tc>
        <w:tc>
          <w:tcPr>
            <w:tcW w:w="567" w:type="dxa"/>
          </w:tcPr>
          <w:p w:rsidR="00322894" w:rsidRDefault="0032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322894" w:rsidRDefault="0032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322894" w:rsidRDefault="0032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322894" w:rsidRDefault="00322894">
            <w:pPr>
              <w:pStyle w:val="TableParagraph"/>
              <w:spacing w:before="25"/>
              <w:ind w:left="108"/>
              <w:rPr>
                <w:sz w:val="16"/>
              </w:rPr>
            </w:pPr>
          </w:p>
        </w:tc>
      </w:tr>
      <w:tr w:rsidR="00322894" w:rsidTr="00322894">
        <w:trPr>
          <w:trHeight w:val="694"/>
        </w:trPr>
        <w:tc>
          <w:tcPr>
            <w:tcW w:w="452" w:type="dxa"/>
            <w:shd w:val="clear" w:color="auto" w:fill="B2E4E1"/>
          </w:tcPr>
          <w:p w:rsidR="00322894" w:rsidRDefault="00973CC2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  <w:r w:rsidR="00322894">
              <w:rPr>
                <w:sz w:val="20"/>
              </w:rPr>
              <w:t>.</w:t>
            </w:r>
          </w:p>
        </w:tc>
        <w:tc>
          <w:tcPr>
            <w:tcW w:w="8789" w:type="dxa"/>
          </w:tcPr>
          <w:p w:rsidR="00322894" w:rsidRDefault="00322894">
            <w:pPr>
              <w:pStyle w:val="TableParagraph"/>
              <w:spacing w:before="26"/>
              <w:ind w:left="107" w:right="270"/>
              <w:rPr>
                <w:sz w:val="20"/>
              </w:rPr>
            </w:pPr>
            <w:r>
              <w:rPr>
                <w:sz w:val="20"/>
              </w:rPr>
              <w:t>The temporary closure mechanism is used when bins are not in use</w:t>
            </w:r>
          </w:p>
        </w:tc>
        <w:tc>
          <w:tcPr>
            <w:tcW w:w="567" w:type="dxa"/>
          </w:tcPr>
          <w:p w:rsidR="00322894" w:rsidRDefault="0032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322894" w:rsidRDefault="0032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322894" w:rsidRDefault="0032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322894" w:rsidRDefault="00322894">
            <w:pPr>
              <w:pStyle w:val="TableParagraph"/>
              <w:spacing w:before="25"/>
              <w:ind w:left="108"/>
              <w:rPr>
                <w:sz w:val="16"/>
              </w:rPr>
            </w:pPr>
          </w:p>
        </w:tc>
      </w:tr>
      <w:tr w:rsidR="00322894" w:rsidTr="00322894">
        <w:trPr>
          <w:trHeight w:val="694"/>
        </w:trPr>
        <w:tc>
          <w:tcPr>
            <w:tcW w:w="452" w:type="dxa"/>
            <w:shd w:val="clear" w:color="auto" w:fill="B2E4E1"/>
          </w:tcPr>
          <w:p w:rsidR="00322894" w:rsidRDefault="00973CC2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 w:rsidR="00322894">
              <w:rPr>
                <w:sz w:val="20"/>
              </w:rPr>
              <w:t>.</w:t>
            </w:r>
          </w:p>
        </w:tc>
        <w:tc>
          <w:tcPr>
            <w:tcW w:w="8789" w:type="dxa"/>
          </w:tcPr>
          <w:p w:rsidR="00322894" w:rsidRDefault="00322894">
            <w:pPr>
              <w:pStyle w:val="TableParagraph"/>
              <w:spacing w:before="26"/>
              <w:ind w:left="107" w:right="270"/>
              <w:rPr>
                <w:sz w:val="20"/>
              </w:rPr>
            </w:pPr>
            <w:r>
              <w:rPr>
                <w:sz w:val="20"/>
              </w:rPr>
              <w:t>Once full the bin aperture is locked</w:t>
            </w:r>
          </w:p>
        </w:tc>
        <w:tc>
          <w:tcPr>
            <w:tcW w:w="567" w:type="dxa"/>
          </w:tcPr>
          <w:p w:rsidR="00322894" w:rsidRDefault="0032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322894" w:rsidRDefault="0032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322894" w:rsidRDefault="0032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322894" w:rsidRDefault="00322894">
            <w:pPr>
              <w:pStyle w:val="TableParagraph"/>
              <w:spacing w:before="25"/>
              <w:ind w:left="108"/>
              <w:rPr>
                <w:sz w:val="16"/>
              </w:rPr>
            </w:pPr>
          </w:p>
        </w:tc>
      </w:tr>
      <w:tr w:rsidR="00322894" w:rsidTr="00322894">
        <w:trPr>
          <w:trHeight w:val="694"/>
        </w:trPr>
        <w:tc>
          <w:tcPr>
            <w:tcW w:w="452" w:type="dxa"/>
            <w:shd w:val="clear" w:color="auto" w:fill="B2E4E1"/>
          </w:tcPr>
          <w:p w:rsidR="00322894" w:rsidRDefault="00973CC2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  <w:r w:rsidR="00322894">
              <w:rPr>
                <w:sz w:val="20"/>
              </w:rPr>
              <w:t>.</w:t>
            </w:r>
          </w:p>
        </w:tc>
        <w:tc>
          <w:tcPr>
            <w:tcW w:w="8789" w:type="dxa"/>
          </w:tcPr>
          <w:p w:rsidR="00322894" w:rsidRDefault="00322894">
            <w:pPr>
              <w:pStyle w:val="TableParagraph"/>
              <w:spacing w:before="26"/>
              <w:ind w:left="107" w:right="270"/>
              <w:rPr>
                <w:sz w:val="20"/>
              </w:rPr>
            </w:pPr>
            <w:r>
              <w:rPr>
                <w:sz w:val="20"/>
              </w:rPr>
              <w:t>Sealed and locked bins are stored in a locked room, cupboard or container, away from public access</w:t>
            </w:r>
          </w:p>
        </w:tc>
        <w:tc>
          <w:tcPr>
            <w:tcW w:w="567" w:type="dxa"/>
          </w:tcPr>
          <w:p w:rsidR="00322894" w:rsidRDefault="0032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322894" w:rsidRDefault="0032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322894" w:rsidRDefault="0032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322894" w:rsidRDefault="00322894">
            <w:pPr>
              <w:pStyle w:val="TableParagraph"/>
              <w:spacing w:before="25"/>
              <w:ind w:left="108"/>
              <w:rPr>
                <w:sz w:val="16"/>
              </w:rPr>
            </w:pPr>
          </w:p>
        </w:tc>
      </w:tr>
    </w:tbl>
    <w:p w:rsidR="001B3422" w:rsidRDefault="001B3422">
      <w:pPr>
        <w:rPr>
          <w:sz w:val="16"/>
        </w:rPr>
        <w:sectPr w:rsidR="001B3422">
          <w:footerReference w:type="default" r:id="rId9"/>
          <w:type w:val="continuous"/>
          <w:pgSz w:w="15840" w:h="12240" w:orient="landscape"/>
          <w:pgMar w:top="540" w:right="480" w:bottom="420" w:left="600" w:header="720" w:footer="238" w:gutter="0"/>
          <w:pgNumType w:start="1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8789"/>
        <w:gridCol w:w="567"/>
        <w:gridCol w:w="567"/>
        <w:gridCol w:w="567"/>
        <w:gridCol w:w="3544"/>
      </w:tblGrid>
      <w:tr w:rsidR="001B3422" w:rsidTr="00322894">
        <w:trPr>
          <w:trHeight w:val="445"/>
        </w:trPr>
        <w:tc>
          <w:tcPr>
            <w:tcW w:w="452" w:type="dxa"/>
            <w:shd w:val="clear" w:color="auto" w:fill="00A599"/>
          </w:tcPr>
          <w:p w:rsidR="001B3422" w:rsidRPr="007E75BF" w:rsidRDefault="00322894">
            <w:pPr>
              <w:pStyle w:val="TableParagraph"/>
              <w:spacing w:before="105"/>
              <w:ind w:left="107"/>
              <w:rPr>
                <w:b/>
                <w:color w:val="FFFFFF" w:themeColor="background1"/>
                <w:sz w:val="20"/>
              </w:rPr>
            </w:pPr>
            <w:r w:rsidRPr="007E75BF">
              <w:rPr>
                <w:b/>
                <w:color w:val="FFFFFF" w:themeColor="background1"/>
                <w:sz w:val="20"/>
              </w:rPr>
              <w:lastRenderedPageBreak/>
              <w:t>(b)</w:t>
            </w:r>
          </w:p>
        </w:tc>
        <w:tc>
          <w:tcPr>
            <w:tcW w:w="8789" w:type="dxa"/>
            <w:shd w:val="clear" w:color="auto" w:fill="00A599"/>
          </w:tcPr>
          <w:p w:rsidR="001B3422" w:rsidRPr="007E75BF" w:rsidRDefault="00322894">
            <w:pPr>
              <w:pStyle w:val="TableParagraph"/>
              <w:spacing w:before="105"/>
              <w:ind w:left="107"/>
              <w:rPr>
                <w:b/>
                <w:color w:val="FFFFFF" w:themeColor="background1"/>
                <w:sz w:val="20"/>
              </w:rPr>
            </w:pPr>
            <w:r w:rsidRPr="007E75BF">
              <w:rPr>
                <w:b/>
                <w:color w:val="FFFFFF" w:themeColor="background1"/>
                <w:sz w:val="20"/>
              </w:rPr>
              <w:t>Safe Practice</w:t>
            </w:r>
          </w:p>
        </w:tc>
        <w:tc>
          <w:tcPr>
            <w:tcW w:w="567" w:type="dxa"/>
            <w:shd w:val="clear" w:color="auto" w:fill="00A599"/>
          </w:tcPr>
          <w:p w:rsidR="001B3422" w:rsidRDefault="00E10CB1">
            <w:pPr>
              <w:pStyle w:val="TableParagraph"/>
              <w:spacing w:before="105"/>
              <w:ind w:left="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Yes</w:t>
            </w:r>
          </w:p>
        </w:tc>
        <w:tc>
          <w:tcPr>
            <w:tcW w:w="567" w:type="dxa"/>
            <w:shd w:val="clear" w:color="auto" w:fill="00A599"/>
          </w:tcPr>
          <w:p w:rsidR="001B3422" w:rsidRDefault="00E10CB1">
            <w:pPr>
              <w:pStyle w:val="TableParagraph"/>
              <w:spacing w:before="105"/>
              <w:ind w:left="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567" w:type="dxa"/>
            <w:shd w:val="clear" w:color="auto" w:fill="00A599"/>
          </w:tcPr>
          <w:p w:rsidR="001B3422" w:rsidRDefault="00E10CB1">
            <w:pPr>
              <w:pStyle w:val="TableParagraph"/>
              <w:spacing w:before="105"/>
              <w:ind w:left="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N/A</w:t>
            </w:r>
          </w:p>
        </w:tc>
        <w:tc>
          <w:tcPr>
            <w:tcW w:w="3544" w:type="dxa"/>
            <w:shd w:val="clear" w:color="auto" w:fill="00A599"/>
          </w:tcPr>
          <w:p w:rsidR="001B3422" w:rsidRDefault="00E10CB1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Comments/Action</w:t>
            </w:r>
          </w:p>
        </w:tc>
      </w:tr>
      <w:tr w:rsidR="00E10CB1" w:rsidTr="00322894">
        <w:trPr>
          <w:trHeight w:val="515"/>
        </w:trPr>
        <w:tc>
          <w:tcPr>
            <w:tcW w:w="452" w:type="dxa"/>
            <w:shd w:val="clear" w:color="auto" w:fill="B2E4E1"/>
          </w:tcPr>
          <w:p w:rsidR="00E10CB1" w:rsidRDefault="00973CC2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  <w:r w:rsidR="00322894">
              <w:rPr>
                <w:sz w:val="20"/>
              </w:rPr>
              <w:t>.</w:t>
            </w:r>
          </w:p>
        </w:tc>
        <w:tc>
          <w:tcPr>
            <w:tcW w:w="8789" w:type="dxa"/>
          </w:tcPr>
          <w:p w:rsidR="00E10CB1" w:rsidRDefault="00322894" w:rsidP="00322894">
            <w:pPr>
              <w:pStyle w:val="TableParagraph"/>
              <w:spacing w:before="26"/>
              <w:ind w:left="107" w:right="404"/>
              <w:rPr>
                <w:sz w:val="20"/>
              </w:rPr>
            </w:pPr>
            <w:r>
              <w:rPr>
                <w:sz w:val="20"/>
              </w:rPr>
              <w:t>An empty sharps bin is available on the cardiac arrest trolley</w:t>
            </w: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:rsidR="00E10CB1" w:rsidRDefault="00E10CB1">
            <w:pPr>
              <w:pStyle w:val="TableParagraph"/>
              <w:spacing w:before="25"/>
              <w:ind w:left="108" w:right="643"/>
              <w:rPr>
                <w:sz w:val="16"/>
              </w:rPr>
            </w:pPr>
          </w:p>
        </w:tc>
      </w:tr>
      <w:tr w:rsidR="00E10CB1" w:rsidTr="00322894">
        <w:trPr>
          <w:trHeight w:val="515"/>
        </w:trPr>
        <w:tc>
          <w:tcPr>
            <w:tcW w:w="452" w:type="dxa"/>
            <w:shd w:val="clear" w:color="auto" w:fill="B2E4E1"/>
          </w:tcPr>
          <w:p w:rsidR="00322894" w:rsidRDefault="00973CC2" w:rsidP="00322894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  <w:r w:rsidR="00322894">
              <w:rPr>
                <w:sz w:val="20"/>
              </w:rPr>
              <w:t>.</w:t>
            </w:r>
          </w:p>
        </w:tc>
        <w:tc>
          <w:tcPr>
            <w:tcW w:w="8789" w:type="dxa"/>
          </w:tcPr>
          <w:p w:rsidR="00E10CB1" w:rsidRDefault="007E75BF">
            <w:pPr>
              <w:pStyle w:val="TableParagraph"/>
              <w:spacing w:before="26"/>
              <w:ind w:left="107" w:right="471"/>
              <w:rPr>
                <w:sz w:val="20"/>
              </w:rPr>
            </w:pPr>
            <w:r>
              <w:rPr>
                <w:sz w:val="20"/>
              </w:rPr>
              <w:t>The sharps bin on the cardiac arrest trolley is stored safely</w:t>
            </w: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:rsidR="00E10CB1" w:rsidRDefault="00E10CB1">
            <w:pPr>
              <w:pStyle w:val="TableParagraph"/>
              <w:spacing w:before="25"/>
              <w:ind w:left="108"/>
              <w:rPr>
                <w:sz w:val="16"/>
              </w:rPr>
            </w:pPr>
          </w:p>
        </w:tc>
      </w:tr>
      <w:tr w:rsidR="00E10CB1" w:rsidTr="00322894">
        <w:trPr>
          <w:trHeight w:val="515"/>
        </w:trPr>
        <w:tc>
          <w:tcPr>
            <w:tcW w:w="452" w:type="dxa"/>
            <w:shd w:val="clear" w:color="auto" w:fill="B2E4E1"/>
          </w:tcPr>
          <w:p w:rsidR="00E10CB1" w:rsidRDefault="00973CC2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89" w:type="dxa"/>
          </w:tcPr>
          <w:p w:rsidR="00E10CB1" w:rsidRDefault="007E75BF">
            <w:pPr>
              <w:pStyle w:val="TableParagraph"/>
              <w:spacing w:before="26"/>
              <w:ind w:left="107" w:right="471"/>
              <w:rPr>
                <w:sz w:val="20"/>
              </w:rPr>
            </w:pPr>
            <w:r>
              <w:rPr>
                <w:sz w:val="20"/>
              </w:rPr>
              <w:t>Sharps trays with integral sharps bins are available for use</w:t>
            </w: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0CB1" w:rsidTr="00322894">
        <w:trPr>
          <w:trHeight w:val="515"/>
        </w:trPr>
        <w:tc>
          <w:tcPr>
            <w:tcW w:w="452" w:type="dxa"/>
            <w:shd w:val="clear" w:color="auto" w:fill="B2E4E1"/>
          </w:tcPr>
          <w:p w:rsidR="00E10CB1" w:rsidRDefault="00973CC2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  <w:r w:rsidR="00E10CB1">
              <w:rPr>
                <w:sz w:val="20"/>
              </w:rPr>
              <w:t>.</w:t>
            </w:r>
          </w:p>
        </w:tc>
        <w:tc>
          <w:tcPr>
            <w:tcW w:w="8789" w:type="dxa"/>
          </w:tcPr>
          <w:p w:rsidR="00E10CB1" w:rsidRDefault="007E75BF">
            <w:pPr>
              <w:pStyle w:val="TableParagraph"/>
              <w:spacing w:before="23"/>
              <w:ind w:left="107" w:right="471"/>
              <w:rPr>
                <w:sz w:val="20"/>
              </w:rPr>
            </w:pPr>
            <w:r>
              <w:rPr>
                <w:sz w:val="20"/>
              </w:rPr>
              <w:t>Sharps trays are compatible with the sharps bins in use</w:t>
            </w: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0CB1" w:rsidTr="00322894">
        <w:trPr>
          <w:trHeight w:val="515"/>
        </w:trPr>
        <w:tc>
          <w:tcPr>
            <w:tcW w:w="452" w:type="dxa"/>
            <w:shd w:val="clear" w:color="auto" w:fill="B2E4E1"/>
          </w:tcPr>
          <w:p w:rsidR="00E10CB1" w:rsidRDefault="00973CC2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  <w:r w:rsidR="00E10CB1">
              <w:rPr>
                <w:sz w:val="20"/>
              </w:rPr>
              <w:t>.</w:t>
            </w:r>
          </w:p>
        </w:tc>
        <w:tc>
          <w:tcPr>
            <w:tcW w:w="8789" w:type="dxa"/>
          </w:tcPr>
          <w:p w:rsidR="00E10CB1" w:rsidRDefault="007E75BF">
            <w:pPr>
              <w:pStyle w:val="TableParagraph"/>
              <w:spacing w:before="26"/>
              <w:ind w:left="107" w:right="471"/>
              <w:rPr>
                <w:sz w:val="20"/>
              </w:rPr>
            </w:pPr>
            <w:r>
              <w:rPr>
                <w:sz w:val="20"/>
              </w:rPr>
              <w:t>Sharps trays in use are visibly clean</w:t>
            </w: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0CB1" w:rsidTr="00322894">
        <w:trPr>
          <w:trHeight w:val="515"/>
        </w:trPr>
        <w:tc>
          <w:tcPr>
            <w:tcW w:w="452" w:type="dxa"/>
            <w:shd w:val="clear" w:color="auto" w:fill="B2E4E1"/>
          </w:tcPr>
          <w:p w:rsidR="00E10CB1" w:rsidRDefault="00973CC2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  <w:r w:rsidR="00E10CB1">
              <w:rPr>
                <w:sz w:val="20"/>
              </w:rPr>
              <w:t>.</w:t>
            </w:r>
          </w:p>
        </w:tc>
        <w:tc>
          <w:tcPr>
            <w:tcW w:w="8789" w:type="dxa"/>
          </w:tcPr>
          <w:p w:rsidR="00E10CB1" w:rsidRDefault="007E75BF">
            <w:pPr>
              <w:pStyle w:val="TableParagraph"/>
              <w:spacing w:before="26"/>
              <w:ind w:left="107" w:right="237"/>
              <w:rPr>
                <w:sz w:val="20"/>
              </w:rPr>
            </w:pPr>
            <w:r>
              <w:rPr>
                <w:sz w:val="20"/>
              </w:rPr>
              <w:t>Sharps are disposed of directly into a sharps bin at the point of use (i.e. medicine trolleys and laboratory equipment)</w:t>
            </w: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0CB1" w:rsidTr="00322894">
        <w:trPr>
          <w:trHeight w:val="515"/>
        </w:trPr>
        <w:tc>
          <w:tcPr>
            <w:tcW w:w="452" w:type="dxa"/>
            <w:shd w:val="clear" w:color="auto" w:fill="B2E4E1"/>
          </w:tcPr>
          <w:p w:rsidR="00E10CB1" w:rsidRDefault="00973CC2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  <w:r w:rsidR="00E10CB1">
              <w:rPr>
                <w:sz w:val="20"/>
              </w:rPr>
              <w:t>.</w:t>
            </w:r>
          </w:p>
        </w:tc>
        <w:tc>
          <w:tcPr>
            <w:tcW w:w="8789" w:type="dxa"/>
          </w:tcPr>
          <w:p w:rsidR="00E10CB1" w:rsidRDefault="007E75BF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Inappropriate re-sheathing of needles does not occur.</w:t>
            </w:r>
          </w:p>
          <w:p w:rsidR="007E75BF" w:rsidRDefault="007E75BF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Observe or question a member of staff</w:t>
            </w: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:rsidR="00E10CB1" w:rsidRDefault="00E10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894" w:rsidTr="00322894">
        <w:trPr>
          <w:trHeight w:val="515"/>
        </w:trPr>
        <w:tc>
          <w:tcPr>
            <w:tcW w:w="452" w:type="dxa"/>
            <w:shd w:val="clear" w:color="auto" w:fill="B2E4E1"/>
          </w:tcPr>
          <w:p w:rsidR="00322894" w:rsidRDefault="00973CC2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  <w:r w:rsidR="00322894">
              <w:rPr>
                <w:sz w:val="20"/>
              </w:rPr>
              <w:t>.</w:t>
            </w:r>
          </w:p>
        </w:tc>
        <w:tc>
          <w:tcPr>
            <w:tcW w:w="8789" w:type="dxa"/>
          </w:tcPr>
          <w:p w:rsidR="00322894" w:rsidRDefault="007E75BF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Needles and syringes are discarded into a sharps bin as one unit</w:t>
            </w:r>
          </w:p>
        </w:tc>
        <w:tc>
          <w:tcPr>
            <w:tcW w:w="567" w:type="dxa"/>
          </w:tcPr>
          <w:p w:rsidR="00322894" w:rsidRDefault="003228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322894" w:rsidRDefault="003228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322894" w:rsidRDefault="003228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:rsidR="00322894" w:rsidRDefault="003228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75BF" w:rsidTr="007E75BF">
        <w:trPr>
          <w:trHeight w:val="515"/>
        </w:trPr>
        <w:tc>
          <w:tcPr>
            <w:tcW w:w="452" w:type="dxa"/>
            <w:shd w:val="clear" w:color="auto" w:fill="009999"/>
          </w:tcPr>
          <w:p w:rsidR="007E75BF" w:rsidRPr="007E75BF" w:rsidRDefault="007E75BF">
            <w:pPr>
              <w:pStyle w:val="TableParagraph"/>
              <w:spacing w:before="21"/>
              <w:ind w:left="107"/>
              <w:rPr>
                <w:b/>
                <w:color w:val="FFFFFF" w:themeColor="background1"/>
                <w:sz w:val="20"/>
                <w:szCs w:val="20"/>
              </w:rPr>
            </w:pPr>
            <w:r w:rsidRPr="007E75BF">
              <w:rPr>
                <w:b/>
                <w:color w:val="FFFFFF" w:themeColor="background1"/>
                <w:sz w:val="20"/>
                <w:szCs w:val="20"/>
              </w:rPr>
              <w:t>(c)</w:t>
            </w:r>
          </w:p>
        </w:tc>
        <w:tc>
          <w:tcPr>
            <w:tcW w:w="8789" w:type="dxa"/>
            <w:shd w:val="clear" w:color="auto" w:fill="009999"/>
          </w:tcPr>
          <w:p w:rsidR="007E75BF" w:rsidRPr="007E75BF" w:rsidRDefault="007E75BF">
            <w:pPr>
              <w:pStyle w:val="TableParagraph"/>
              <w:spacing w:before="23"/>
              <w:ind w:left="107"/>
              <w:rPr>
                <w:b/>
                <w:color w:val="FFFFFF" w:themeColor="background1"/>
                <w:sz w:val="20"/>
                <w:szCs w:val="20"/>
              </w:rPr>
            </w:pPr>
            <w:r w:rsidRPr="007E75BF">
              <w:rPr>
                <w:b/>
                <w:color w:val="FFFFFF" w:themeColor="background1"/>
                <w:sz w:val="20"/>
                <w:szCs w:val="20"/>
              </w:rPr>
              <w:t>Policy awareness</w:t>
            </w:r>
          </w:p>
        </w:tc>
        <w:tc>
          <w:tcPr>
            <w:tcW w:w="567" w:type="dxa"/>
            <w:shd w:val="clear" w:color="auto" w:fill="009999"/>
          </w:tcPr>
          <w:p w:rsidR="007E75BF" w:rsidRPr="007E75BF" w:rsidRDefault="007E75BF" w:rsidP="007E75BF">
            <w:pPr>
              <w:pStyle w:val="TableParagraph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E75BF">
              <w:rPr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009999"/>
          </w:tcPr>
          <w:p w:rsidR="007E75BF" w:rsidRPr="007E75BF" w:rsidRDefault="007E75BF" w:rsidP="007E75BF">
            <w:pPr>
              <w:pStyle w:val="TableParagraph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E75BF">
              <w:rPr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009999"/>
          </w:tcPr>
          <w:p w:rsidR="007E75BF" w:rsidRPr="007E75BF" w:rsidRDefault="007E75BF" w:rsidP="007E75BF">
            <w:pPr>
              <w:pStyle w:val="TableParagraph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E75BF">
              <w:rPr>
                <w:b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3544" w:type="dxa"/>
            <w:shd w:val="clear" w:color="auto" w:fill="009999"/>
          </w:tcPr>
          <w:p w:rsidR="007E75BF" w:rsidRPr="007E75BF" w:rsidRDefault="007E75BF">
            <w:pPr>
              <w:pStyle w:val="TableParagrap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  </w:t>
            </w:r>
            <w:r w:rsidRPr="007E75BF">
              <w:rPr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b/>
                <w:color w:val="FFFFFF" w:themeColor="background1"/>
                <w:sz w:val="20"/>
                <w:szCs w:val="20"/>
              </w:rPr>
              <w:t>s/Action</w:t>
            </w:r>
          </w:p>
        </w:tc>
      </w:tr>
      <w:tr w:rsidR="007E75BF" w:rsidTr="007E75BF">
        <w:trPr>
          <w:trHeight w:val="515"/>
        </w:trPr>
        <w:tc>
          <w:tcPr>
            <w:tcW w:w="452" w:type="dxa"/>
            <w:shd w:val="clear" w:color="auto" w:fill="B1EDEC"/>
          </w:tcPr>
          <w:p w:rsidR="007E75BF" w:rsidRPr="007E75BF" w:rsidRDefault="00973CC2">
            <w:pPr>
              <w:pStyle w:val="TableParagraph"/>
              <w:spacing w:before="2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E75BF" w:rsidRPr="007E75BF">
              <w:rPr>
                <w:sz w:val="20"/>
                <w:szCs w:val="20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E75BF" w:rsidRPr="007E75BF" w:rsidRDefault="007E75BF" w:rsidP="00D70990">
            <w:pPr>
              <w:pStyle w:val="TableParagraph"/>
              <w:spacing w:before="23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Nurse/Clinical manager in charge is </w:t>
            </w:r>
            <w:r w:rsidR="00501DD0">
              <w:rPr>
                <w:sz w:val="20"/>
                <w:szCs w:val="20"/>
              </w:rPr>
              <w:t>aware</w:t>
            </w:r>
            <w:r>
              <w:rPr>
                <w:sz w:val="20"/>
                <w:szCs w:val="20"/>
              </w:rPr>
              <w:t xml:space="preserve"> of the action required following an inoculation injury. They should include immediate first aid, informing the manager, occupational health or A&amp;E, completion of an incident form and </w:t>
            </w:r>
            <w:r w:rsidR="00501DD0">
              <w:rPr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 xml:space="preserve"> the action for high risk injuries</w:t>
            </w:r>
            <w:r w:rsidR="00D70990">
              <w:rPr>
                <w:sz w:val="20"/>
                <w:szCs w:val="20"/>
              </w:rPr>
              <w:t xml:space="preserve"> involving blood borne viruses (Question the nurse/clinical manager in charge)</w:t>
            </w:r>
          </w:p>
        </w:tc>
        <w:tc>
          <w:tcPr>
            <w:tcW w:w="567" w:type="dxa"/>
            <w:shd w:val="clear" w:color="auto" w:fill="auto"/>
          </w:tcPr>
          <w:p w:rsidR="007E75BF" w:rsidRPr="007E75BF" w:rsidRDefault="007E75BF" w:rsidP="007E75BF">
            <w:pPr>
              <w:pStyle w:val="TableParagraph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75BF" w:rsidRPr="007E75BF" w:rsidRDefault="007E75BF" w:rsidP="007E75BF">
            <w:pPr>
              <w:pStyle w:val="TableParagraph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75BF" w:rsidRPr="007E75BF" w:rsidRDefault="007E75BF" w:rsidP="007E75BF">
            <w:pPr>
              <w:pStyle w:val="TableParagraph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E75BF" w:rsidRDefault="007E75BF">
            <w:pPr>
              <w:pStyle w:val="TableParagraph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E75BF" w:rsidTr="007E75BF">
        <w:trPr>
          <w:trHeight w:val="515"/>
        </w:trPr>
        <w:tc>
          <w:tcPr>
            <w:tcW w:w="452" w:type="dxa"/>
            <w:shd w:val="clear" w:color="auto" w:fill="B1EDEC"/>
          </w:tcPr>
          <w:p w:rsidR="007E75BF" w:rsidRPr="007E75BF" w:rsidRDefault="00973CC2">
            <w:pPr>
              <w:pStyle w:val="TableParagraph"/>
              <w:spacing w:before="2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E75BF" w:rsidRPr="007E75BF">
              <w:rPr>
                <w:sz w:val="20"/>
                <w:szCs w:val="20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E75BF" w:rsidRPr="00D70990" w:rsidRDefault="00D70990" w:rsidP="00D70990">
            <w:pPr>
              <w:pStyle w:val="TableParagraph"/>
              <w:spacing w:before="23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staff are aware of the action required following an inoculation injury as above (Question a   member of medical staff)</w:t>
            </w:r>
          </w:p>
        </w:tc>
        <w:tc>
          <w:tcPr>
            <w:tcW w:w="567" w:type="dxa"/>
            <w:shd w:val="clear" w:color="auto" w:fill="auto"/>
          </w:tcPr>
          <w:p w:rsidR="007E75BF" w:rsidRPr="00D70990" w:rsidRDefault="007E75BF" w:rsidP="007E75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75BF" w:rsidRPr="00D70990" w:rsidRDefault="007E75BF" w:rsidP="007E75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75BF" w:rsidRPr="00D70990" w:rsidRDefault="007E75BF" w:rsidP="007E75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E75BF" w:rsidRPr="00D70990" w:rsidRDefault="007E75B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75BF" w:rsidTr="007E75BF">
        <w:trPr>
          <w:trHeight w:val="515"/>
        </w:trPr>
        <w:tc>
          <w:tcPr>
            <w:tcW w:w="452" w:type="dxa"/>
            <w:shd w:val="clear" w:color="auto" w:fill="B1EDEC"/>
          </w:tcPr>
          <w:p w:rsidR="007E75BF" w:rsidRPr="007E75BF" w:rsidRDefault="00973CC2">
            <w:pPr>
              <w:pStyle w:val="TableParagraph"/>
              <w:spacing w:before="2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7E75BF" w:rsidRPr="007E75BF">
              <w:rPr>
                <w:sz w:val="20"/>
                <w:szCs w:val="20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E75BF" w:rsidRPr="00D70990" w:rsidRDefault="00D70990">
            <w:pPr>
              <w:pStyle w:val="TableParagraph"/>
              <w:spacing w:before="2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Allied Health Care Professionals are aware of the first aid action required following an inoculation injury (Question a </w:t>
            </w:r>
            <w:r w:rsidR="00501DD0">
              <w:rPr>
                <w:sz w:val="20"/>
                <w:szCs w:val="20"/>
              </w:rPr>
              <w:t>member</w:t>
            </w:r>
            <w:r>
              <w:rPr>
                <w:sz w:val="20"/>
                <w:szCs w:val="20"/>
              </w:rPr>
              <w:t xml:space="preserve"> of AHP staff)</w:t>
            </w:r>
          </w:p>
        </w:tc>
        <w:tc>
          <w:tcPr>
            <w:tcW w:w="567" w:type="dxa"/>
            <w:shd w:val="clear" w:color="auto" w:fill="auto"/>
          </w:tcPr>
          <w:p w:rsidR="007E75BF" w:rsidRPr="00D70990" w:rsidRDefault="007E75BF" w:rsidP="007E75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75BF" w:rsidRPr="00D70990" w:rsidRDefault="007E75BF" w:rsidP="007E75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75BF" w:rsidRPr="00D70990" w:rsidRDefault="007E75BF" w:rsidP="007E75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E75BF" w:rsidRPr="00D70990" w:rsidRDefault="007E75B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75BF" w:rsidTr="007E75BF">
        <w:trPr>
          <w:trHeight w:val="515"/>
        </w:trPr>
        <w:tc>
          <w:tcPr>
            <w:tcW w:w="452" w:type="dxa"/>
            <w:shd w:val="clear" w:color="auto" w:fill="B1EDEC"/>
          </w:tcPr>
          <w:p w:rsidR="007E75BF" w:rsidRPr="007E75BF" w:rsidRDefault="00973CC2">
            <w:pPr>
              <w:pStyle w:val="TableParagraph"/>
              <w:spacing w:before="2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E75BF" w:rsidRPr="007E75BF">
              <w:rPr>
                <w:sz w:val="20"/>
                <w:szCs w:val="20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E75BF" w:rsidRPr="00D70990" w:rsidRDefault="00D70990">
            <w:pPr>
              <w:pStyle w:val="TableParagraph"/>
              <w:spacing w:before="2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Ancillary staff are aware </w:t>
            </w:r>
            <w:r w:rsidR="00501DD0">
              <w:rPr>
                <w:sz w:val="20"/>
                <w:szCs w:val="20"/>
              </w:rPr>
              <w:t>of the first aid action required following an inoculation injury (Question a member of Ancillary staff)</w:t>
            </w:r>
          </w:p>
        </w:tc>
        <w:tc>
          <w:tcPr>
            <w:tcW w:w="567" w:type="dxa"/>
            <w:shd w:val="clear" w:color="auto" w:fill="auto"/>
          </w:tcPr>
          <w:p w:rsidR="007E75BF" w:rsidRPr="00D70990" w:rsidRDefault="007E75BF" w:rsidP="007E75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75BF" w:rsidRPr="00D70990" w:rsidRDefault="007E75BF" w:rsidP="007E75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75BF" w:rsidRPr="00D70990" w:rsidRDefault="007E75BF" w:rsidP="007E75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E75BF" w:rsidRPr="00D70990" w:rsidRDefault="007E75B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75BF" w:rsidTr="007E75BF">
        <w:trPr>
          <w:trHeight w:val="515"/>
        </w:trPr>
        <w:tc>
          <w:tcPr>
            <w:tcW w:w="452" w:type="dxa"/>
            <w:shd w:val="clear" w:color="auto" w:fill="B1EDEC"/>
          </w:tcPr>
          <w:p w:rsidR="007E75BF" w:rsidRPr="007E75BF" w:rsidRDefault="00973CC2">
            <w:pPr>
              <w:pStyle w:val="TableParagraph"/>
              <w:spacing w:before="2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7E75BF" w:rsidRPr="007E75BF">
              <w:rPr>
                <w:sz w:val="20"/>
                <w:szCs w:val="20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E75BF" w:rsidRPr="00D70990" w:rsidRDefault="00501DD0">
            <w:pPr>
              <w:pStyle w:val="TableParagraph"/>
              <w:spacing w:before="2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are aware of the action required following an inoculation injury. (Question a member of staff)</w:t>
            </w:r>
          </w:p>
        </w:tc>
        <w:tc>
          <w:tcPr>
            <w:tcW w:w="567" w:type="dxa"/>
            <w:shd w:val="clear" w:color="auto" w:fill="auto"/>
          </w:tcPr>
          <w:p w:rsidR="007E75BF" w:rsidRPr="00D70990" w:rsidRDefault="007E75BF" w:rsidP="007E75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75BF" w:rsidRPr="00D70990" w:rsidRDefault="007E75BF" w:rsidP="007E75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75BF" w:rsidRPr="00D70990" w:rsidRDefault="007E75BF" w:rsidP="007E75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E75BF" w:rsidRPr="00D70990" w:rsidRDefault="007E75B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75BF" w:rsidTr="007E75BF">
        <w:trPr>
          <w:trHeight w:val="515"/>
        </w:trPr>
        <w:tc>
          <w:tcPr>
            <w:tcW w:w="452" w:type="dxa"/>
            <w:shd w:val="clear" w:color="auto" w:fill="B1EDEC"/>
          </w:tcPr>
          <w:p w:rsidR="007E75BF" w:rsidRPr="007E75BF" w:rsidRDefault="00973CC2">
            <w:pPr>
              <w:pStyle w:val="TableParagraph"/>
              <w:spacing w:before="2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7E75BF" w:rsidRPr="007E75BF">
              <w:rPr>
                <w:sz w:val="20"/>
                <w:szCs w:val="20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E75BF" w:rsidRPr="00D70990" w:rsidRDefault="00501DD0">
            <w:pPr>
              <w:pStyle w:val="TableParagraph"/>
              <w:spacing w:before="2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can identify where the safe handling of sharps policy is located</w:t>
            </w:r>
          </w:p>
        </w:tc>
        <w:tc>
          <w:tcPr>
            <w:tcW w:w="567" w:type="dxa"/>
            <w:shd w:val="clear" w:color="auto" w:fill="auto"/>
          </w:tcPr>
          <w:p w:rsidR="007E75BF" w:rsidRPr="00D70990" w:rsidRDefault="007E75BF" w:rsidP="007E75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75BF" w:rsidRPr="00D70990" w:rsidRDefault="007E75BF" w:rsidP="007E75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75BF" w:rsidRPr="00D70990" w:rsidRDefault="007E75BF" w:rsidP="007E75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E75BF" w:rsidRPr="00D70990" w:rsidRDefault="007E75B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75BF" w:rsidTr="007E75BF">
        <w:trPr>
          <w:trHeight w:val="515"/>
        </w:trPr>
        <w:tc>
          <w:tcPr>
            <w:tcW w:w="452" w:type="dxa"/>
            <w:shd w:val="clear" w:color="auto" w:fill="B1EDEC"/>
          </w:tcPr>
          <w:p w:rsidR="007E75BF" w:rsidRPr="007E75BF" w:rsidRDefault="00973CC2">
            <w:pPr>
              <w:pStyle w:val="TableParagraph"/>
              <w:spacing w:before="2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7E75BF" w:rsidRPr="007E75BF">
              <w:rPr>
                <w:sz w:val="20"/>
                <w:szCs w:val="20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E75BF" w:rsidRPr="00D70990" w:rsidRDefault="00501DD0">
            <w:pPr>
              <w:pStyle w:val="TableParagraph"/>
              <w:spacing w:before="2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a policy and or poster available for the management of an inoculation injury</w:t>
            </w:r>
          </w:p>
        </w:tc>
        <w:tc>
          <w:tcPr>
            <w:tcW w:w="567" w:type="dxa"/>
            <w:shd w:val="clear" w:color="auto" w:fill="auto"/>
          </w:tcPr>
          <w:p w:rsidR="007E75BF" w:rsidRPr="00D70990" w:rsidRDefault="007E75BF" w:rsidP="007E75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75BF" w:rsidRPr="00D70990" w:rsidRDefault="007E75BF" w:rsidP="007E75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75BF" w:rsidRPr="00D70990" w:rsidRDefault="007E75BF" w:rsidP="007E75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E75BF" w:rsidRPr="00D70990" w:rsidRDefault="007E75B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10CB1" w:rsidRDefault="00E10CB1"/>
    <w:sectPr w:rsidR="00E10CB1">
      <w:pgSz w:w="15840" w:h="12240" w:orient="landscape"/>
      <w:pgMar w:top="720" w:right="480" w:bottom="420" w:left="600" w:header="0" w:footer="2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51C" w:rsidRDefault="0032151C">
      <w:r>
        <w:separator/>
      </w:r>
    </w:p>
  </w:endnote>
  <w:endnote w:type="continuationSeparator" w:id="0">
    <w:p w:rsidR="0032151C" w:rsidRDefault="0032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DD0" w:rsidRDefault="00D0229C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8949690</wp:posOffset>
              </wp:positionH>
              <wp:positionV relativeFrom="page">
                <wp:posOffset>7430770</wp:posOffset>
              </wp:positionV>
              <wp:extent cx="612140" cy="153670"/>
              <wp:effectExtent l="0" t="127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DD0" w:rsidRDefault="00501DD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229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4.7pt;margin-top:585.1pt;width:48.2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MS+rQIAAKg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" filled="f" stroked="f">
              <v:textbox inset="0,0,0,0">
                <w:txbxContent>
                  <w:p w:rsidR="00501DD0" w:rsidRDefault="00501DD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229C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51C" w:rsidRDefault="0032151C">
      <w:r>
        <w:separator/>
      </w:r>
    </w:p>
  </w:footnote>
  <w:footnote w:type="continuationSeparator" w:id="0">
    <w:p w:rsidR="0032151C" w:rsidRDefault="00321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D1B71"/>
    <w:multiLevelType w:val="hybridMultilevel"/>
    <w:tmpl w:val="FA785FE8"/>
    <w:lvl w:ilvl="0" w:tplc="C6C86C7C">
      <w:numFmt w:val="bullet"/>
      <w:lvlText w:val=""/>
      <w:lvlJc w:val="left"/>
      <w:pPr>
        <w:ind w:left="309" w:hanging="236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4AADB54">
      <w:numFmt w:val="bullet"/>
      <w:lvlText w:val="•"/>
      <w:lvlJc w:val="left"/>
      <w:pPr>
        <w:ind w:left="1665" w:hanging="236"/>
      </w:pPr>
      <w:rPr>
        <w:rFonts w:hint="default"/>
      </w:rPr>
    </w:lvl>
    <w:lvl w:ilvl="2" w:tplc="D6D8B71C">
      <w:numFmt w:val="bullet"/>
      <w:lvlText w:val="•"/>
      <w:lvlJc w:val="left"/>
      <w:pPr>
        <w:ind w:left="3030" w:hanging="236"/>
      </w:pPr>
      <w:rPr>
        <w:rFonts w:hint="default"/>
      </w:rPr>
    </w:lvl>
    <w:lvl w:ilvl="3" w:tplc="416C5B70">
      <w:numFmt w:val="bullet"/>
      <w:lvlText w:val="•"/>
      <w:lvlJc w:val="left"/>
      <w:pPr>
        <w:ind w:left="4395" w:hanging="236"/>
      </w:pPr>
      <w:rPr>
        <w:rFonts w:hint="default"/>
      </w:rPr>
    </w:lvl>
    <w:lvl w:ilvl="4" w:tplc="3ECCA71A">
      <w:numFmt w:val="bullet"/>
      <w:lvlText w:val="•"/>
      <w:lvlJc w:val="left"/>
      <w:pPr>
        <w:ind w:left="5761" w:hanging="236"/>
      </w:pPr>
      <w:rPr>
        <w:rFonts w:hint="default"/>
      </w:rPr>
    </w:lvl>
    <w:lvl w:ilvl="5" w:tplc="2230EBDA">
      <w:numFmt w:val="bullet"/>
      <w:lvlText w:val="•"/>
      <w:lvlJc w:val="left"/>
      <w:pPr>
        <w:ind w:left="7126" w:hanging="236"/>
      </w:pPr>
      <w:rPr>
        <w:rFonts w:hint="default"/>
      </w:rPr>
    </w:lvl>
    <w:lvl w:ilvl="6" w:tplc="9F1A5A66">
      <w:numFmt w:val="bullet"/>
      <w:lvlText w:val="•"/>
      <w:lvlJc w:val="left"/>
      <w:pPr>
        <w:ind w:left="8491" w:hanging="236"/>
      </w:pPr>
      <w:rPr>
        <w:rFonts w:hint="default"/>
      </w:rPr>
    </w:lvl>
    <w:lvl w:ilvl="7" w:tplc="875EB4D0">
      <w:numFmt w:val="bullet"/>
      <w:lvlText w:val="•"/>
      <w:lvlJc w:val="left"/>
      <w:pPr>
        <w:ind w:left="9857" w:hanging="236"/>
      </w:pPr>
      <w:rPr>
        <w:rFonts w:hint="default"/>
      </w:rPr>
    </w:lvl>
    <w:lvl w:ilvl="8" w:tplc="3AA2D8B8">
      <w:numFmt w:val="bullet"/>
      <w:lvlText w:val="•"/>
      <w:lvlJc w:val="left"/>
      <w:pPr>
        <w:ind w:left="11222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22"/>
    <w:rsid w:val="001B3422"/>
    <w:rsid w:val="0032151C"/>
    <w:rsid w:val="00322894"/>
    <w:rsid w:val="00501DD0"/>
    <w:rsid w:val="007E75BF"/>
    <w:rsid w:val="00973CC2"/>
    <w:rsid w:val="00BD27C0"/>
    <w:rsid w:val="00D0229C"/>
    <w:rsid w:val="00D70990"/>
    <w:rsid w:val="00E10CB1"/>
    <w:rsid w:val="00F6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0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B1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D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01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DD0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0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B1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D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01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DD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Barnsley District General Hospital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Ashworth, Sonya [RCD]</dc:creator>
  <cp:lastModifiedBy>Michelle Thompson</cp:lastModifiedBy>
  <cp:revision>2</cp:revision>
  <cp:lastPrinted>2018-12-11T10:09:00Z</cp:lastPrinted>
  <dcterms:created xsi:type="dcterms:W3CDTF">2018-12-11T17:17:00Z</dcterms:created>
  <dcterms:modified xsi:type="dcterms:W3CDTF">2018-12-11T17:17:00Z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2018-12-05T00:00:00Z</vt:filetime>
  </property>
</Properties>
</file>