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092"/>
      </w:tblGrid>
      <w:tr w:rsidR="00A1375E" w14:paraId="7F352BAD" w14:textId="77777777" w:rsidTr="00E054EA">
        <w:tc>
          <w:tcPr>
            <w:tcW w:w="4924" w:type="dxa"/>
          </w:tcPr>
          <w:p w14:paraId="079C34AE" w14:textId="1072E85E" w:rsidR="00A1375E" w:rsidRDefault="00A1375E" w:rsidP="00D35931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NON-SPECIFIC SYMPTOMS</w:t>
            </w:r>
          </w:p>
          <w:p w14:paraId="45B4731B" w14:textId="00070E2C" w:rsidR="007B7E2C" w:rsidRPr="007B7E2C" w:rsidRDefault="007B7E2C" w:rsidP="00D3593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(formally ‘Vague Symptoms’</w:t>
            </w:r>
            <w:r w:rsidR="00EB14B6">
              <w:rPr>
                <w:b/>
                <w:color w:val="FF0000"/>
                <w:sz w:val="24"/>
                <w:szCs w:val="24"/>
              </w:rPr>
              <w:t>)</w:t>
            </w:r>
          </w:p>
          <w:p w14:paraId="73EE9724" w14:textId="20F960E9" w:rsidR="00A1375E" w:rsidRPr="00A1375E" w:rsidRDefault="00A1375E" w:rsidP="00D3593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Supporting information</w:t>
            </w:r>
          </w:p>
        </w:tc>
        <w:tc>
          <w:tcPr>
            <w:tcW w:w="4092" w:type="dxa"/>
          </w:tcPr>
          <w:p w14:paraId="23293724" w14:textId="77777777" w:rsidR="00A1375E" w:rsidRPr="00AF0166" w:rsidRDefault="00A1375E" w:rsidP="0045693E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34964C98" wp14:editId="05053F16">
                  <wp:extent cx="2451875" cy="1056904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213" t="12856" b="26910"/>
                          <a:stretch/>
                        </pic:blipFill>
                        <pic:spPr bwMode="auto">
                          <a:xfrm>
                            <a:off x="0" y="0"/>
                            <a:ext cx="2458101" cy="105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ADCE7" w14:textId="77777777" w:rsidR="00A1375E" w:rsidRDefault="00A1375E" w:rsidP="006007B1">
      <w:pPr>
        <w:rPr>
          <w:rFonts w:ascii="Arial" w:hAnsi="Arial" w:cs="Arial"/>
          <w:sz w:val="20"/>
          <w:szCs w:val="20"/>
        </w:rPr>
      </w:pPr>
    </w:p>
    <w:p w14:paraId="48CD9B3D" w14:textId="4F80EC3B" w:rsidR="00D32266" w:rsidRPr="007C26C3" w:rsidRDefault="006007B1" w:rsidP="006007B1">
      <w:pPr>
        <w:rPr>
          <w:rFonts w:ascii="Arial" w:hAnsi="Arial" w:cs="Arial"/>
          <w:sz w:val="20"/>
          <w:szCs w:val="20"/>
        </w:rPr>
      </w:pPr>
      <w:r w:rsidRPr="007C26C3">
        <w:rPr>
          <w:rFonts w:ascii="Arial" w:hAnsi="Arial" w:cs="Arial"/>
          <w:sz w:val="20"/>
          <w:szCs w:val="20"/>
        </w:rPr>
        <w:t>This leaflet has been put together as supporting information</w:t>
      </w:r>
      <w:r w:rsidR="007B7E2C">
        <w:rPr>
          <w:rFonts w:ascii="Arial" w:hAnsi="Arial" w:cs="Arial"/>
          <w:sz w:val="20"/>
          <w:szCs w:val="20"/>
        </w:rPr>
        <w:t xml:space="preserve"> for Primary Care colleagues</w:t>
      </w:r>
      <w:r w:rsidRPr="007C26C3">
        <w:rPr>
          <w:rFonts w:ascii="Arial" w:hAnsi="Arial" w:cs="Arial"/>
          <w:sz w:val="20"/>
          <w:szCs w:val="20"/>
        </w:rPr>
        <w:t xml:space="preserve"> for the Non-specific</w:t>
      </w:r>
      <w:r w:rsidR="007B7E2C">
        <w:rPr>
          <w:rFonts w:ascii="Arial" w:hAnsi="Arial" w:cs="Arial"/>
          <w:sz w:val="20"/>
          <w:szCs w:val="20"/>
        </w:rPr>
        <w:t xml:space="preserve"> symptoms’</w:t>
      </w:r>
      <w:r w:rsidRPr="007C26C3">
        <w:rPr>
          <w:rFonts w:ascii="Arial" w:hAnsi="Arial" w:cs="Arial"/>
          <w:sz w:val="20"/>
          <w:szCs w:val="20"/>
        </w:rPr>
        <w:t xml:space="preserve"> referral process. </w:t>
      </w:r>
    </w:p>
    <w:p w14:paraId="377D600F" w14:textId="49AA93FD" w:rsidR="006007B1" w:rsidRPr="006007B1" w:rsidRDefault="006007B1" w:rsidP="006007B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007B1">
        <w:rPr>
          <w:rFonts w:ascii="Arial" w:hAnsi="Arial" w:cs="Arial"/>
          <w:b/>
          <w:bCs/>
          <w:sz w:val="20"/>
          <w:szCs w:val="20"/>
          <w:u w:val="single"/>
        </w:rPr>
        <w:t>Recommended Baseline Investigations</w:t>
      </w:r>
    </w:p>
    <w:p w14:paraId="600809D3" w14:textId="77777777" w:rsidR="006007B1" w:rsidRDefault="006007B1" w:rsidP="006007B1">
      <w:pPr>
        <w:rPr>
          <w:rFonts w:ascii="Arial" w:hAnsi="Arial" w:cs="Arial"/>
          <w:sz w:val="20"/>
          <w:szCs w:val="20"/>
        </w:rPr>
      </w:pPr>
      <w:r w:rsidRPr="006007B1">
        <w:rPr>
          <w:rFonts w:ascii="Arial" w:hAnsi="Arial" w:cs="Arial"/>
          <w:sz w:val="20"/>
          <w:szCs w:val="20"/>
        </w:rPr>
        <w:t>The following tests should be arranged in primary care before referral, where clinically appropriate</w:t>
      </w:r>
      <w:r w:rsidRPr="007C26C3">
        <w:rPr>
          <w:rFonts w:ascii="Arial" w:hAnsi="Arial" w:cs="Arial"/>
          <w:sz w:val="20"/>
          <w:szCs w:val="20"/>
        </w:rPr>
        <w:t xml:space="preserve">. </w:t>
      </w:r>
      <w:r w:rsidRPr="006007B1">
        <w:rPr>
          <w:rFonts w:ascii="Arial" w:hAnsi="Arial" w:cs="Arial"/>
          <w:sz w:val="20"/>
          <w:szCs w:val="20"/>
        </w:rPr>
        <w:t xml:space="preserve">Primary care should complete this minimum test bundle prior to NSS referral, unless clinically inappropriate or already available. </w:t>
      </w:r>
    </w:p>
    <w:p w14:paraId="1EE5D4CA" w14:textId="5849D2FA" w:rsidR="00D35931" w:rsidRPr="007C26C3" w:rsidRDefault="00D35931" w:rsidP="006007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patient must have been assessed and examined prior to referral. All results should have been reviewed by the GP and referral can only be submitted if there is </w:t>
      </w:r>
      <w:r w:rsidRPr="00D35931">
        <w:rPr>
          <w:rFonts w:ascii="Arial" w:hAnsi="Arial" w:cs="Arial"/>
          <w:sz w:val="20"/>
          <w:szCs w:val="20"/>
          <w:u w:val="single"/>
        </w:rPr>
        <w:t>no clear diagnosis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71E0237A" w14:textId="4D275286" w:rsidR="006007B1" w:rsidRPr="00FE66BA" w:rsidRDefault="006007B1" w:rsidP="00FE66BA">
      <w:pPr>
        <w:rPr>
          <w:rFonts w:ascii="Arial" w:hAnsi="Arial" w:cs="Arial"/>
          <w:color w:val="FF0000"/>
          <w:sz w:val="20"/>
          <w:szCs w:val="20"/>
        </w:rPr>
      </w:pPr>
      <w:r w:rsidRPr="007C26C3">
        <w:rPr>
          <w:rFonts w:ascii="Arial" w:hAnsi="Arial" w:cs="Arial"/>
          <w:color w:val="FF0000"/>
          <w:sz w:val="20"/>
          <w:szCs w:val="20"/>
        </w:rPr>
        <w:t>Please a</w:t>
      </w:r>
      <w:r w:rsidRPr="006007B1">
        <w:rPr>
          <w:rFonts w:ascii="Arial" w:hAnsi="Arial" w:cs="Arial"/>
          <w:color w:val="FF0000"/>
          <w:sz w:val="20"/>
          <w:szCs w:val="20"/>
        </w:rPr>
        <w:t>ttach results to avoid duplication and delays.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66BA" w14:paraId="16DE6981" w14:textId="77777777" w:rsidTr="003357F7">
        <w:tc>
          <w:tcPr>
            <w:tcW w:w="9016" w:type="dxa"/>
            <w:gridSpan w:val="2"/>
          </w:tcPr>
          <w:p w14:paraId="1E3FF673" w14:textId="6661A016" w:rsidR="00FE66BA" w:rsidRPr="00FE66BA" w:rsidRDefault="00FE66BA" w:rsidP="00FE66B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E66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Essential pre-referral tests</w:t>
            </w:r>
          </w:p>
        </w:tc>
      </w:tr>
      <w:tr w:rsidR="00FE66BA" w14:paraId="08D4A277" w14:textId="77777777" w:rsidTr="00FE66BA">
        <w:tc>
          <w:tcPr>
            <w:tcW w:w="4508" w:type="dxa"/>
          </w:tcPr>
          <w:p w14:paraId="2B2BD7AB" w14:textId="77777777" w:rsidR="00FE66BA" w:rsidRPr="007C26C3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FBC</w:t>
            </w:r>
          </w:p>
          <w:p w14:paraId="4BFD89B8" w14:textId="77777777" w:rsidR="00FE66BA" w:rsidRPr="007C26C3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U&amp;Es with eGFR</w:t>
            </w:r>
          </w:p>
          <w:p w14:paraId="58994670" w14:textId="77777777" w:rsidR="00FE66BA" w:rsidRPr="007C26C3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LFTs</w:t>
            </w:r>
          </w:p>
          <w:p w14:paraId="0B30146D" w14:textId="77777777" w:rsidR="00FE66BA" w:rsidRPr="007C26C3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Bone Profile</w:t>
            </w:r>
          </w:p>
          <w:p w14:paraId="4E8C55FD" w14:textId="77777777" w:rsidR="00FE66BA" w:rsidRPr="007C26C3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TFTs</w:t>
            </w:r>
          </w:p>
          <w:p w14:paraId="78CBB42E" w14:textId="77777777" w:rsidR="00FE66BA" w:rsidRPr="007C26C3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CRP and/or ESR</w:t>
            </w:r>
          </w:p>
          <w:p w14:paraId="39CC50C8" w14:textId="77777777" w:rsidR="00FE66BA" w:rsidRPr="007C26C3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HbA1c &amp; Glucose</w:t>
            </w:r>
          </w:p>
          <w:p w14:paraId="6E43DD19" w14:textId="77777777" w:rsidR="00FE66BA" w:rsidRPr="007C26C3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Ferritin</w:t>
            </w:r>
          </w:p>
          <w:p w14:paraId="26A8DEE5" w14:textId="77777777" w:rsidR="00FE66BA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CA125 (Female)</w:t>
            </w:r>
          </w:p>
          <w:p w14:paraId="6D823787" w14:textId="3B9A39D1" w:rsidR="00FE66BA" w:rsidRPr="00FE66BA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E66BA">
              <w:rPr>
                <w:rFonts w:ascii="Arial" w:hAnsi="Arial" w:cs="Arial"/>
                <w:sz w:val="20"/>
                <w:szCs w:val="20"/>
              </w:rPr>
              <w:t>PSA (Male)</w:t>
            </w:r>
          </w:p>
        </w:tc>
        <w:tc>
          <w:tcPr>
            <w:tcW w:w="4508" w:type="dxa"/>
          </w:tcPr>
          <w:p w14:paraId="4CE18E05" w14:textId="77777777" w:rsidR="00FE66BA" w:rsidRPr="007C26C3" w:rsidRDefault="00FE66BA" w:rsidP="00FE66BA">
            <w:pPr>
              <w:rPr>
                <w:rFonts w:ascii="Arial" w:hAnsi="Arial" w:cs="Arial"/>
                <w:sz w:val="20"/>
                <w:szCs w:val="20"/>
              </w:rPr>
            </w:pPr>
            <w:r w:rsidRPr="006007B1">
              <w:rPr>
                <w:rFonts w:ascii="Arial" w:hAnsi="Arial" w:cs="Arial"/>
                <w:b/>
                <w:bCs/>
                <w:sz w:val="20"/>
                <w:szCs w:val="20"/>
              </w:rPr>
              <w:t>CT Chest, Abdomen &amp; Pelvis (CT CAP)</w:t>
            </w:r>
            <w:r w:rsidRPr="007C26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C26C3">
              <w:rPr>
                <w:rFonts w:ascii="Arial" w:hAnsi="Arial" w:cs="Arial"/>
                <w:sz w:val="20"/>
                <w:szCs w:val="20"/>
              </w:rPr>
              <w:t>– should be requested if the patient has had:</w:t>
            </w:r>
          </w:p>
          <w:p w14:paraId="041236DA" w14:textId="77777777" w:rsidR="00FE66BA" w:rsidRPr="007C26C3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 xml:space="preserve">Significant unexplained weight loss </w:t>
            </w:r>
          </w:p>
          <w:p w14:paraId="49CF054A" w14:textId="77777777" w:rsidR="00FE66BA" w:rsidRPr="007C26C3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Constitutional red flags with no clear primary</w:t>
            </w:r>
          </w:p>
          <w:p w14:paraId="067BA3B3" w14:textId="77777777" w:rsidR="00FE66BA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 xml:space="preserve">Abnormal CXR or USS needing staging </w:t>
            </w:r>
          </w:p>
          <w:p w14:paraId="379922B1" w14:textId="64CF1C54" w:rsidR="00FE66BA" w:rsidRPr="00FE66BA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E66BA">
              <w:rPr>
                <w:rFonts w:ascii="Arial" w:hAnsi="Arial" w:cs="Arial"/>
                <w:sz w:val="20"/>
                <w:szCs w:val="20"/>
              </w:rPr>
              <w:t>Suspicion of intra-abdominal malignancy and/or metastasis</w:t>
            </w:r>
          </w:p>
        </w:tc>
      </w:tr>
      <w:tr w:rsidR="00FE66BA" w14:paraId="3D39FE3B" w14:textId="77777777" w:rsidTr="006C23FF">
        <w:tc>
          <w:tcPr>
            <w:tcW w:w="9016" w:type="dxa"/>
            <w:gridSpan w:val="2"/>
          </w:tcPr>
          <w:p w14:paraId="483891B1" w14:textId="03C5C37E" w:rsidR="00FE66BA" w:rsidRPr="00FE66BA" w:rsidRDefault="00FE66BA" w:rsidP="00FE66B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E66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Other recommended tests</w:t>
            </w:r>
          </w:p>
        </w:tc>
      </w:tr>
      <w:tr w:rsidR="00FE66BA" w14:paraId="56ED451A" w14:textId="77777777" w:rsidTr="00223E35">
        <w:tc>
          <w:tcPr>
            <w:tcW w:w="9016" w:type="dxa"/>
            <w:gridSpan w:val="2"/>
          </w:tcPr>
          <w:p w14:paraId="2E0E6478" w14:textId="56273CAA" w:rsidR="00FE66BA" w:rsidRPr="007C26C3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Urine dipstick ± culture</w:t>
            </w:r>
          </w:p>
          <w:p w14:paraId="793116FF" w14:textId="77777777" w:rsidR="00FE66BA" w:rsidRPr="007C26C3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26C3">
              <w:rPr>
                <w:rFonts w:ascii="Arial" w:hAnsi="Arial" w:cs="Arial"/>
                <w:sz w:val="20"/>
                <w:szCs w:val="20"/>
              </w:rPr>
              <w:t>qFIT</w:t>
            </w:r>
            <w:proofErr w:type="spellEnd"/>
            <w:r w:rsidRPr="007C26C3">
              <w:rPr>
                <w:rFonts w:ascii="Arial" w:hAnsi="Arial" w:cs="Arial"/>
                <w:sz w:val="20"/>
                <w:szCs w:val="20"/>
              </w:rPr>
              <w:t xml:space="preserve"> stool test</w:t>
            </w:r>
          </w:p>
          <w:p w14:paraId="6B4C38CF" w14:textId="77777777" w:rsidR="00FE66BA" w:rsidRPr="007C26C3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Coeliac Screen (TTG)</w:t>
            </w:r>
          </w:p>
          <w:p w14:paraId="2B55DDB8" w14:textId="77777777" w:rsidR="00FE66BA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Amylase</w:t>
            </w:r>
          </w:p>
          <w:p w14:paraId="0D3C21E7" w14:textId="7BB35F24" w:rsidR="00FE66BA" w:rsidRPr="00FE66BA" w:rsidRDefault="00FE66BA" w:rsidP="00FE66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E66BA">
              <w:rPr>
                <w:rFonts w:ascii="Arial" w:hAnsi="Arial" w:cs="Arial"/>
                <w:sz w:val="20"/>
                <w:szCs w:val="20"/>
              </w:rPr>
              <w:t>Immunoglobulins and Serum Light Chains</w:t>
            </w:r>
          </w:p>
        </w:tc>
      </w:tr>
    </w:tbl>
    <w:p w14:paraId="58D6668C" w14:textId="794E050A" w:rsidR="00FE66BA" w:rsidRDefault="00FE66BA" w:rsidP="00FE66BA">
      <w:pPr>
        <w:rPr>
          <w:rFonts w:ascii="Arial" w:hAnsi="Arial" w:cs="Arial"/>
          <w:sz w:val="20"/>
          <w:szCs w:val="20"/>
        </w:rPr>
      </w:pPr>
    </w:p>
    <w:p w14:paraId="34CA2541" w14:textId="164F6CA1" w:rsidR="00EB14B6" w:rsidRPr="00FE66BA" w:rsidRDefault="00EB14B6" w:rsidP="00FE66BA">
      <w:pPr>
        <w:rPr>
          <w:rFonts w:ascii="Arial" w:hAnsi="Arial" w:cs="Arial"/>
          <w:sz w:val="20"/>
          <w:szCs w:val="20"/>
        </w:rPr>
      </w:pPr>
      <w:r w:rsidRPr="006007B1">
        <w:rPr>
          <w:rFonts w:ascii="Arial" w:hAnsi="Arial" w:cs="Arial"/>
          <w:sz w:val="20"/>
          <w:szCs w:val="20"/>
        </w:rPr>
        <w:t>All imaging must be justified clinically and supported by initial test results where possible. Where uncertain, discuss via NSS triage for vetting.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66BA" w14:paraId="66936192" w14:textId="77777777" w:rsidTr="00220650">
        <w:tc>
          <w:tcPr>
            <w:tcW w:w="9016" w:type="dxa"/>
            <w:gridSpan w:val="2"/>
          </w:tcPr>
          <w:p w14:paraId="1EC78058" w14:textId="54D5DBA8" w:rsidR="00FE66BA" w:rsidRPr="00FE66BA" w:rsidRDefault="00FE66BA" w:rsidP="00FE66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E66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Cross-Sectional Imaging Guidance</w:t>
            </w:r>
          </w:p>
        </w:tc>
      </w:tr>
      <w:tr w:rsidR="00FE66BA" w14:paraId="7F70AAC2" w14:textId="77777777" w:rsidTr="00FE66BA">
        <w:tc>
          <w:tcPr>
            <w:tcW w:w="4508" w:type="dxa"/>
          </w:tcPr>
          <w:p w14:paraId="71FE87E0" w14:textId="77777777" w:rsidR="00FE66BA" w:rsidRPr="007C26C3" w:rsidRDefault="00FE66BA" w:rsidP="00FE66BA">
            <w:p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Chest X-ray (CXR) </w:t>
            </w:r>
            <w:r w:rsidRPr="007C26C3">
              <w:rPr>
                <w:rFonts w:ascii="Arial" w:hAnsi="Arial" w:cs="Arial"/>
                <w:sz w:val="20"/>
                <w:szCs w:val="20"/>
              </w:rPr>
              <w:t>– should be requested if the patient has had:</w:t>
            </w:r>
          </w:p>
          <w:p w14:paraId="4CAF8772" w14:textId="77777777" w:rsidR="00FE66BA" w:rsidRPr="007C26C3" w:rsidRDefault="00FE66BA" w:rsidP="00FE66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 xml:space="preserve">Persistent cough &gt;3 weeks </w:t>
            </w:r>
          </w:p>
          <w:p w14:paraId="04EC0FFC" w14:textId="77777777" w:rsidR="00FE66BA" w:rsidRPr="007C26C3" w:rsidRDefault="00FE66BA" w:rsidP="00FE66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 xml:space="preserve">Unexplained haemoptysis or breathlessness </w:t>
            </w:r>
          </w:p>
          <w:p w14:paraId="6F2DFBC7" w14:textId="77777777" w:rsidR="00FE66BA" w:rsidRPr="007C26C3" w:rsidRDefault="00FE66BA" w:rsidP="00FE66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 xml:space="preserve">Unexplained chest pain </w:t>
            </w:r>
          </w:p>
          <w:p w14:paraId="5220FB33" w14:textId="77777777" w:rsidR="00FE66BA" w:rsidRPr="007C26C3" w:rsidRDefault="00FE66BA" w:rsidP="00FE66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 xml:space="preserve">Unintentional weight loss with respiratory features </w:t>
            </w:r>
          </w:p>
          <w:p w14:paraId="5651C1BF" w14:textId="77777777" w:rsidR="00FE66BA" w:rsidRPr="007C26C3" w:rsidRDefault="00FE66BA" w:rsidP="00FE66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Suspected lung malignancy and/or lung metastasis</w:t>
            </w:r>
          </w:p>
          <w:p w14:paraId="0773E56B" w14:textId="77777777" w:rsidR="00FE66BA" w:rsidRDefault="00FE66BA" w:rsidP="00FE6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F0B4BF6" w14:textId="77777777" w:rsidR="00FE66BA" w:rsidRPr="006007B1" w:rsidRDefault="00FE66BA" w:rsidP="00FE66BA">
            <w:pPr>
              <w:rPr>
                <w:rFonts w:ascii="Arial" w:hAnsi="Arial" w:cs="Arial"/>
                <w:sz w:val="20"/>
                <w:szCs w:val="20"/>
              </w:rPr>
            </w:pPr>
            <w:r w:rsidRPr="006007B1">
              <w:rPr>
                <w:rFonts w:ascii="Arial" w:hAnsi="Arial" w:cs="Arial"/>
                <w:b/>
                <w:bCs/>
                <w:sz w:val="20"/>
                <w:szCs w:val="20"/>
              </w:rPr>
              <w:t>MRI (Targeted)</w:t>
            </w:r>
            <w:r w:rsidRPr="007C26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C26C3">
              <w:rPr>
                <w:rFonts w:ascii="Arial" w:hAnsi="Arial" w:cs="Arial"/>
                <w:sz w:val="20"/>
                <w:szCs w:val="20"/>
              </w:rPr>
              <w:t>– should be requested if the patient has had:</w:t>
            </w:r>
          </w:p>
          <w:p w14:paraId="6F6E0E4B" w14:textId="77777777" w:rsidR="00FE66BA" w:rsidRPr="007C26C3" w:rsidRDefault="00FE66BA" w:rsidP="00FE66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 xml:space="preserve">Localised bone pain or possible bone metastasis </w:t>
            </w:r>
          </w:p>
          <w:p w14:paraId="6C274775" w14:textId="77777777" w:rsidR="00FE66BA" w:rsidRPr="007C26C3" w:rsidRDefault="00FE66BA" w:rsidP="00FE66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 xml:space="preserve">Neurological symptoms suggesting CNS/spinal involvement </w:t>
            </w:r>
          </w:p>
          <w:p w14:paraId="39ED4938" w14:textId="77777777" w:rsidR="00FE66BA" w:rsidRPr="00FE66BA" w:rsidRDefault="00FE66BA" w:rsidP="00FE66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C26C3">
              <w:rPr>
                <w:rFonts w:ascii="Arial" w:hAnsi="Arial" w:cs="Arial"/>
                <w:sz w:val="20"/>
                <w:szCs w:val="20"/>
              </w:rPr>
              <w:t>Soft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26C3">
              <w:rPr>
                <w:rFonts w:ascii="Arial" w:hAnsi="Arial" w:cs="Arial"/>
                <w:sz w:val="20"/>
                <w:szCs w:val="20"/>
              </w:rPr>
              <w:t>tissue or organ lesions needing further characterisation</w:t>
            </w:r>
          </w:p>
          <w:p w14:paraId="0434FA3D" w14:textId="77777777" w:rsidR="00FE66BA" w:rsidRDefault="00FE66BA" w:rsidP="00FE66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E65F8D" w14:textId="77777777" w:rsidR="00FE66BA" w:rsidRPr="00FE66BA" w:rsidRDefault="00FE66BA" w:rsidP="00FE66BA">
      <w:pPr>
        <w:rPr>
          <w:rFonts w:ascii="Arial" w:hAnsi="Arial" w:cs="Arial"/>
          <w:sz w:val="20"/>
          <w:szCs w:val="20"/>
        </w:rPr>
      </w:pPr>
    </w:p>
    <w:sectPr w:rsidR="00FE66BA" w:rsidRPr="00FE66B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7124" w14:textId="77777777" w:rsidR="00763C5F" w:rsidRDefault="00763C5F" w:rsidP="00763C5F">
      <w:pPr>
        <w:spacing w:after="0" w:line="240" w:lineRule="auto"/>
      </w:pPr>
      <w:r>
        <w:separator/>
      </w:r>
    </w:p>
  </w:endnote>
  <w:endnote w:type="continuationSeparator" w:id="0">
    <w:p w14:paraId="1A297064" w14:textId="77777777" w:rsidR="00763C5F" w:rsidRDefault="00763C5F" w:rsidP="0076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CA14" w14:textId="3F20A48B" w:rsidR="00763C5F" w:rsidRDefault="00763C5F">
    <w:pPr>
      <w:pStyle w:val="Footer"/>
    </w:pPr>
    <w:r>
      <w:t>Review date: 12/01/2027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0519" w14:textId="77777777" w:rsidR="00763C5F" w:rsidRDefault="00763C5F" w:rsidP="00763C5F">
      <w:pPr>
        <w:spacing w:after="0" w:line="240" w:lineRule="auto"/>
      </w:pPr>
      <w:r>
        <w:separator/>
      </w:r>
    </w:p>
  </w:footnote>
  <w:footnote w:type="continuationSeparator" w:id="0">
    <w:p w14:paraId="431C1264" w14:textId="77777777" w:rsidR="00763C5F" w:rsidRDefault="00763C5F" w:rsidP="00763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9CD"/>
    <w:multiLevelType w:val="hybridMultilevel"/>
    <w:tmpl w:val="130C2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4799"/>
    <w:multiLevelType w:val="hybridMultilevel"/>
    <w:tmpl w:val="EF120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F3FB6"/>
    <w:multiLevelType w:val="hybridMultilevel"/>
    <w:tmpl w:val="CDB8B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00B83"/>
    <w:multiLevelType w:val="hybridMultilevel"/>
    <w:tmpl w:val="84008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F2032"/>
    <w:multiLevelType w:val="hybridMultilevel"/>
    <w:tmpl w:val="A3D6B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A3D27"/>
    <w:multiLevelType w:val="hybridMultilevel"/>
    <w:tmpl w:val="7114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96781">
    <w:abstractNumId w:val="0"/>
  </w:num>
  <w:num w:numId="2" w16cid:durableId="1746217541">
    <w:abstractNumId w:val="4"/>
  </w:num>
  <w:num w:numId="3" w16cid:durableId="1384325894">
    <w:abstractNumId w:val="3"/>
  </w:num>
  <w:num w:numId="4" w16cid:durableId="1056978593">
    <w:abstractNumId w:val="1"/>
  </w:num>
  <w:num w:numId="5" w16cid:durableId="1345746659">
    <w:abstractNumId w:val="2"/>
  </w:num>
  <w:num w:numId="6" w16cid:durableId="1911966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B1"/>
    <w:rsid w:val="00243BBD"/>
    <w:rsid w:val="00402F1E"/>
    <w:rsid w:val="0042326C"/>
    <w:rsid w:val="00582409"/>
    <w:rsid w:val="005E0F1E"/>
    <w:rsid w:val="006001D3"/>
    <w:rsid w:val="006007B1"/>
    <w:rsid w:val="006E4B9F"/>
    <w:rsid w:val="00763C5F"/>
    <w:rsid w:val="007B7E2C"/>
    <w:rsid w:val="007C26C3"/>
    <w:rsid w:val="008675C7"/>
    <w:rsid w:val="00A1375E"/>
    <w:rsid w:val="00A62738"/>
    <w:rsid w:val="00BB6BAD"/>
    <w:rsid w:val="00D32266"/>
    <w:rsid w:val="00D35931"/>
    <w:rsid w:val="00E054EA"/>
    <w:rsid w:val="00E16C07"/>
    <w:rsid w:val="00EB14B6"/>
    <w:rsid w:val="00F90DA2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3A71"/>
  <w15:chartTrackingRefBased/>
  <w15:docId w15:val="{047C917D-296B-4B24-B9EB-0C65459A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7B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00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7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07B1"/>
    <w:pPr>
      <w:spacing w:after="0" w:line="240" w:lineRule="auto"/>
    </w:pPr>
  </w:style>
  <w:style w:type="table" w:styleId="TableGrid">
    <w:name w:val="Table Grid"/>
    <w:basedOn w:val="TableNormal"/>
    <w:uiPriority w:val="59"/>
    <w:rsid w:val="00A137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C5F"/>
  </w:style>
  <w:style w:type="paragraph" w:styleId="Footer">
    <w:name w:val="footer"/>
    <w:basedOn w:val="Normal"/>
    <w:link w:val="FooterChar"/>
    <w:uiPriority w:val="99"/>
    <w:unhideWhenUsed/>
    <w:rsid w:val="00763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Cook</dc:creator>
  <cp:keywords/>
  <dc:description/>
  <cp:lastModifiedBy>SMITH, Emma (BHF LUNDWOOD SURGERY)</cp:lastModifiedBy>
  <cp:revision>2</cp:revision>
  <dcterms:created xsi:type="dcterms:W3CDTF">2026-01-12T13:39:00Z</dcterms:created>
  <dcterms:modified xsi:type="dcterms:W3CDTF">2026-01-12T13:39:00Z</dcterms:modified>
</cp:coreProperties>
</file>