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2C5E" w14:textId="77777777" w:rsidR="000E4D4A" w:rsidRPr="008A34B8" w:rsidRDefault="000E4D4A" w:rsidP="000E4D4A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8A34B8">
        <w:rPr>
          <w:rFonts w:asciiTheme="minorHAnsi" w:hAnsiTheme="minorHAnsi" w:cstheme="minorHAnsi"/>
          <w:sz w:val="32"/>
          <w:szCs w:val="32"/>
        </w:rPr>
        <w:t xml:space="preserve">Rockwood Scale </w:t>
      </w:r>
    </w:p>
    <w:p w14:paraId="1239F6B5" w14:textId="77777777" w:rsidR="000E4D4A" w:rsidRPr="000E7BEF" w:rsidRDefault="000E4D4A" w:rsidP="000E4D4A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color w:val="1E1E1E"/>
          <w:kern w:val="36"/>
          <w:sz w:val="24"/>
          <w:szCs w:val="24"/>
          <w:lang w:eastAsia="en-GB"/>
        </w:rPr>
      </w:pPr>
      <w:r w:rsidRPr="000E7BEF">
        <w:rPr>
          <w:rFonts w:cstheme="minorHAnsi"/>
          <w:color w:val="202124"/>
          <w:sz w:val="24"/>
          <w:szCs w:val="24"/>
          <w:shd w:val="clear" w:color="auto" w:fill="FFFFFF"/>
        </w:rPr>
        <w:t xml:space="preserve">Is a semiquantitative tool used to estimate an individual's degree of frailty on a scale of 1 (very fit) to 9 (terminally ill).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br/>
      </w:r>
      <w:r w:rsidRPr="000E7BEF">
        <w:rPr>
          <w:rFonts w:cstheme="minorHAnsi"/>
          <w:color w:val="202124"/>
          <w:sz w:val="24"/>
          <w:szCs w:val="24"/>
          <w:shd w:val="clear" w:color="auto" w:fill="FFFFFF"/>
        </w:rPr>
        <w:t>Patients who score a 5 or higher are considered frail</w:t>
      </w:r>
    </w:p>
    <w:p w14:paraId="54BA2816" w14:textId="77777777" w:rsidR="000E4D4A" w:rsidRPr="009211FF" w:rsidRDefault="000E4D4A" w:rsidP="000E4D4A">
      <w:pPr>
        <w:shd w:val="clear" w:color="auto" w:fill="FFFFFF"/>
        <w:spacing w:after="150" w:line="240" w:lineRule="auto"/>
        <w:outlineLvl w:val="0"/>
        <w:rPr>
          <w:rFonts w:ascii="Lato" w:eastAsia="Times New Roman" w:hAnsi="Lato" w:cs="Times New Roman"/>
          <w:b/>
          <w:bCs/>
          <w:color w:val="1E1E1E"/>
          <w:kern w:val="36"/>
          <w:sz w:val="24"/>
          <w:szCs w:val="24"/>
          <w:lang w:eastAsia="en-GB"/>
        </w:rPr>
      </w:pPr>
      <w:r w:rsidRPr="003E7459">
        <w:rPr>
          <w:rFonts w:ascii="Lato" w:eastAsia="Times New Roman" w:hAnsi="Lato" w:cs="Times New Roman"/>
          <w:b/>
          <w:bCs/>
          <w:noProof/>
          <w:color w:val="1E1E1E"/>
          <w:kern w:val="36"/>
          <w:sz w:val="53"/>
          <w:szCs w:val="53"/>
          <w:lang w:eastAsia="en-GB"/>
        </w:rPr>
        <w:drawing>
          <wp:inline distT="0" distB="0" distL="0" distR="0" wp14:anchorId="26D44C8A" wp14:editId="39891104">
            <wp:extent cx="6394525" cy="5060950"/>
            <wp:effectExtent l="0" t="0" r="6350" b="6350"/>
            <wp:docPr id="2" name="Picture 2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7A64678-0845-4DC7-93DF-A7D5995423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07A64678-0845-4DC7-93DF-A7D59954231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491" cy="5064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A2A61" w14:textId="6F0A1869" w:rsidR="00E11122" w:rsidRDefault="00E11122" w:rsidP="000E4D4A">
      <w:pPr>
        <w:spacing w:after="160" w:line="259" w:lineRule="auto"/>
      </w:pPr>
    </w:p>
    <w:sectPr w:rsidR="00E11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4A"/>
    <w:rsid w:val="000E4D4A"/>
    <w:rsid w:val="00E1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61AF"/>
  <w15:chartTrackingRefBased/>
  <w15:docId w15:val="{70CCFA3A-6673-4C58-A036-9DBBF394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4A"/>
  </w:style>
  <w:style w:type="paragraph" w:styleId="Heading1">
    <w:name w:val="heading 1"/>
    <w:basedOn w:val="Normal"/>
    <w:link w:val="Heading1Char"/>
    <w:uiPriority w:val="9"/>
    <w:qFormat/>
    <w:rsid w:val="000E4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D4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Michelle (NHS SOUTH YORKSHIRE ICB - 02P)</dc:creator>
  <cp:keywords/>
  <dc:description/>
  <cp:lastModifiedBy>THOMPSON, Michelle (NHS SOUTH YORKSHIRE ICB - 02P)</cp:lastModifiedBy>
  <cp:revision>1</cp:revision>
  <dcterms:created xsi:type="dcterms:W3CDTF">2022-09-27T13:47:00Z</dcterms:created>
  <dcterms:modified xsi:type="dcterms:W3CDTF">2022-09-27T13:48:00Z</dcterms:modified>
</cp:coreProperties>
</file>